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1019"/>
        <w:gridCol w:w="272"/>
        <w:gridCol w:w="7781"/>
      </w:tblGrid>
      <w:tr w:rsidR="00CD1680" w:rsidRPr="00351917" w14:paraId="50DA6E85" w14:textId="77777777" w:rsidTr="00275B50">
        <w:tc>
          <w:tcPr>
            <w:tcW w:w="1019" w:type="dxa"/>
            <w:tcMar>
              <w:left w:w="0" w:type="dxa"/>
              <w:right w:w="0" w:type="dxa"/>
            </w:tcMar>
          </w:tcPr>
          <w:p w14:paraId="50DA6E82" w14:textId="77777777" w:rsidR="00275B50" w:rsidRPr="00351917" w:rsidRDefault="00636F6B" w:rsidP="002D7F52">
            <w:pPr>
              <w:rPr>
                <w:rFonts w:cs="Arial"/>
                <w:b/>
                <w:sz w:val="19"/>
                <w:szCs w:val="19"/>
              </w:rPr>
            </w:pPr>
            <w:r w:rsidRPr="00351917">
              <w:rPr>
                <w:rFonts w:cs="Arial"/>
                <w:b/>
                <w:sz w:val="19"/>
                <w:szCs w:val="19"/>
              </w:rPr>
              <w:t xml:space="preserve">Datum </w:t>
            </w:r>
          </w:p>
        </w:tc>
        <w:tc>
          <w:tcPr>
            <w:tcW w:w="272" w:type="dxa"/>
          </w:tcPr>
          <w:p w14:paraId="50DA6E83" w14:textId="77777777" w:rsidR="00275B50" w:rsidRPr="00351917" w:rsidRDefault="00636F6B" w:rsidP="002D7F52">
            <w:pPr>
              <w:rPr>
                <w:rFonts w:cs="Arial"/>
                <w:sz w:val="19"/>
                <w:szCs w:val="19"/>
              </w:rPr>
            </w:pPr>
            <w:r w:rsidRPr="00351917">
              <w:rPr>
                <w:rFonts w:cs="Arial"/>
                <w:sz w:val="19"/>
                <w:szCs w:val="19"/>
              </w:rPr>
              <w:t>:</w:t>
            </w:r>
          </w:p>
        </w:tc>
        <w:tc>
          <w:tcPr>
            <w:tcW w:w="7781" w:type="dxa"/>
            <w:tcMar>
              <w:left w:w="0" w:type="dxa"/>
              <w:right w:w="0" w:type="dxa"/>
            </w:tcMar>
          </w:tcPr>
          <w:p w14:paraId="50DA6E84" w14:textId="77777777" w:rsidR="00275B50" w:rsidRPr="00351917" w:rsidRDefault="00636F6B" w:rsidP="002D7F52">
            <w:pPr>
              <w:rPr>
                <w:rFonts w:cs="Arial"/>
                <w:sz w:val="19"/>
                <w:szCs w:val="19"/>
              </w:rPr>
            </w:pPr>
            <w:r w:rsidRPr="00351917">
              <w:rPr>
                <w:rFonts w:cs="Arial"/>
                <w:sz w:val="19"/>
                <w:szCs w:val="19"/>
              </w:rPr>
              <w:t>maandag 11 november 2019</w:t>
            </w:r>
          </w:p>
        </w:tc>
      </w:tr>
      <w:tr w:rsidR="00CD1680" w:rsidRPr="00351917" w14:paraId="50DA6E89" w14:textId="77777777" w:rsidTr="00275B50">
        <w:tc>
          <w:tcPr>
            <w:tcW w:w="1019" w:type="dxa"/>
            <w:tcMar>
              <w:left w:w="0" w:type="dxa"/>
              <w:right w:w="0" w:type="dxa"/>
            </w:tcMar>
          </w:tcPr>
          <w:p w14:paraId="50DA6E86" w14:textId="77777777" w:rsidR="00275B50" w:rsidRPr="00351917" w:rsidRDefault="003B1181" w:rsidP="002D7F52">
            <w:pPr>
              <w:rPr>
                <w:rFonts w:cs="Arial"/>
                <w:b/>
                <w:sz w:val="19"/>
                <w:szCs w:val="19"/>
              </w:rPr>
            </w:pPr>
          </w:p>
        </w:tc>
        <w:tc>
          <w:tcPr>
            <w:tcW w:w="272" w:type="dxa"/>
          </w:tcPr>
          <w:p w14:paraId="50DA6E87" w14:textId="77777777" w:rsidR="00275B50" w:rsidRPr="00351917" w:rsidRDefault="003B1181" w:rsidP="002D7F52">
            <w:pPr>
              <w:rPr>
                <w:rFonts w:cs="Arial"/>
                <w:sz w:val="19"/>
                <w:szCs w:val="19"/>
              </w:rPr>
            </w:pPr>
          </w:p>
        </w:tc>
        <w:tc>
          <w:tcPr>
            <w:tcW w:w="7781" w:type="dxa"/>
            <w:tcMar>
              <w:left w:w="0" w:type="dxa"/>
              <w:right w:w="0" w:type="dxa"/>
            </w:tcMar>
          </w:tcPr>
          <w:p w14:paraId="50DA6E88" w14:textId="77777777" w:rsidR="00275B50" w:rsidRPr="00351917" w:rsidRDefault="003B1181" w:rsidP="002D7F52">
            <w:pPr>
              <w:rPr>
                <w:rFonts w:cs="Arial"/>
                <w:sz w:val="19"/>
                <w:szCs w:val="19"/>
              </w:rPr>
            </w:pPr>
          </w:p>
        </w:tc>
      </w:tr>
      <w:tr w:rsidR="00CD1680" w:rsidRPr="00351917" w14:paraId="50DA6E8D" w14:textId="77777777" w:rsidTr="00275B50">
        <w:tc>
          <w:tcPr>
            <w:tcW w:w="1019" w:type="dxa"/>
            <w:tcMar>
              <w:left w:w="0" w:type="dxa"/>
              <w:right w:w="0" w:type="dxa"/>
            </w:tcMar>
          </w:tcPr>
          <w:p w14:paraId="50DA6E8A" w14:textId="77777777" w:rsidR="00275B50" w:rsidRPr="00351917" w:rsidRDefault="00636F6B" w:rsidP="002D7F52">
            <w:pPr>
              <w:rPr>
                <w:rFonts w:cs="Arial"/>
                <w:b/>
                <w:sz w:val="19"/>
                <w:szCs w:val="19"/>
              </w:rPr>
            </w:pPr>
            <w:r w:rsidRPr="00351917">
              <w:rPr>
                <w:rFonts w:cs="Arial"/>
                <w:b/>
                <w:sz w:val="19"/>
                <w:szCs w:val="19"/>
              </w:rPr>
              <w:t xml:space="preserve">Aan </w:t>
            </w:r>
          </w:p>
        </w:tc>
        <w:tc>
          <w:tcPr>
            <w:tcW w:w="272" w:type="dxa"/>
          </w:tcPr>
          <w:p w14:paraId="50DA6E8B" w14:textId="77777777" w:rsidR="00275B50" w:rsidRPr="00351917" w:rsidRDefault="00636F6B" w:rsidP="002D7F52">
            <w:pPr>
              <w:rPr>
                <w:rFonts w:cs="Arial"/>
                <w:sz w:val="19"/>
                <w:szCs w:val="19"/>
              </w:rPr>
            </w:pPr>
            <w:r w:rsidRPr="00351917">
              <w:rPr>
                <w:rFonts w:cs="Arial"/>
                <w:sz w:val="19"/>
                <w:szCs w:val="19"/>
              </w:rPr>
              <w:t>:</w:t>
            </w:r>
          </w:p>
        </w:tc>
        <w:tc>
          <w:tcPr>
            <w:tcW w:w="7781" w:type="dxa"/>
            <w:tcMar>
              <w:left w:w="0" w:type="dxa"/>
              <w:right w:w="0" w:type="dxa"/>
            </w:tcMar>
          </w:tcPr>
          <w:p w14:paraId="50DA6E8C" w14:textId="77777777" w:rsidR="00275B50" w:rsidRPr="00351917" w:rsidRDefault="00636F6B" w:rsidP="002D7F52">
            <w:pPr>
              <w:rPr>
                <w:rFonts w:cs="Arial"/>
                <w:sz w:val="19"/>
                <w:szCs w:val="19"/>
              </w:rPr>
            </w:pPr>
            <w:r w:rsidRPr="00351917">
              <w:rPr>
                <w:rFonts w:cs="Arial"/>
                <w:sz w:val="19"/>
                <w:szCs w:val="19"/>
              </w:rPr>
              <w:t>staf Onderwijs</w:t>
            </w:r>
          </w:p>
        </w:tc>
      </w:tr>
      <w:tr w:rsidR="00CD1680" w:rsidRPr="00351917" w14:paraId="50DA6E91" w14:textId="77777777" w:rsidTr="00275B50">
        <w:tc>
          <w:tcPr>
            <w:tcW w:w="1019" w:type="dxa"/>
            <w:tcMar>
              <w:left w:w="0" w:type="dxa"/>
              <w:right w:w="0" w:type="dxa"/>
            </w:tcMar>
          </w:tcPr>
          <w:p w14:paraId="50DA6E8E" w14:textId="77777777" w:rsidR="00275B50" w:rsidRPr="00351917" w:rsidRDefault="003B1181" w:rsidP="002D7F52">
            <w:pPr>
              <w:rPr>
                <w:rFonts w:cs="Arial"/>
                <w:b/>
                <w:sz w:val="19"/>
                <w:szCs w:val="19"/>
              </w:rPr>
            </w:pPr>
          </w:p>
        </w:tc>
        <w:tc>
          <w:tcPr>
            <w:tcW w:w="272" w:type="dxa"/>
          </w:tcPr>
          <w:p w14:paraId="50DA6E8F" w14:textId="77777777" w:rsidR="00275B50" w:rsidRPr="00351917" w:rsidRDefault="003B1181" w:rsidP="002D7F52">
            <w:pPr>
              <w:rPr>
                <w:rFonts w:cs="Arial"/>
                <w:sz w:val="19"/>
                <w:szCs w:val="19"/>
              </w:rPr>
            </w:pPr>
          </w:p>
        </w:tc>
        <w:tc>
          <w:tcPr>
            <w:tcW w:w="7781" w:type="dxa"/>
            <w:tcMar>
              <w:left w:w="0" w:type="dxa"/>
              <w:right w:w="0" w:type="dxa"/>
            </w:tcMar>
          </w:tcPr>
          <w:p w14:paraId="50DA6E90" w14:textId="77777777" w:rsidR="00275B50" w:rsidRPr="00351917" w:rsidRDefault="003B1181" w:rsidP="002D7F52">
            <w:pPr>
              <w:rPr>
                <w:rFonts w:cs="Arial"/>
                <w:sz w:val="19"/>
                <w:szCs w:val="19"/>
              </w:rPr>
            </w:pPr>
          </w:p>
        </w:tc>
      </w:tr>
      <w:tr w:rsidR="00CD1680" w:rsidRPr="00351917" w14:paraId="50DA6E95" w14:textId="77777777" w:rsidTr="00275B50">
        <w:tc>
          <w:tcPr>
            <w:tcW w:w="1019" w:type="dxa"/>
            <w:tcMar>
              <w:left w:w="0" w:type="dxa"/>
              <w:right w:w="0" w:type="dxa"/>
            </w:tcMar>
          </w:tcPr>
          <w:p w14:paraId="50DA6E92" w14:textId="77777777" w:rsidR="00275B50" w:rsidRPr="00351917" w:rsidRDefault="00636F6B" w:rsidP="002D7F52">
            <w:pPr>
              <w:rPr>
                <w:rFonts w:cs="Arial"/>
                <w:b/>
                <w:sz w:val="19"/>
                <w:szCs w:val="19"/>
              </w:rPr>
            </w:pPr>
            <w:r w:rsidRPr="00351917">
              <w:rPr>
                <w:rFonts w:cs="Arial"/>
                <w:b/>
                <w:sz w:val="19"/>
                <w:szCs w:val="19"/>
              </w:rPr>
              <w:t xml:space="preserve">Kopie aan </w:t>
            </w:r>
          </w:p>
        </w:tc>
        <w:tc>
          <w:tcPr>
            <w:tcW w:w="272" w:type="dxa"/>
          </w:tcPr>
          <w:p w14:paraId="50DA6E93" w14:textId="77777777" w:rsidR="00275B50" w:rsidRPr="00351917" w:rsidRDefault="00636F6B" w:rsidP="002D7F52">
            <w:pPr>
              <w:rPr>
                <w:rFonts w:cs="Arial"/>
                <w:sz w:val="19"/>
                <w:szCs w:val="19"/>
              </w:rPr>
            </w:pPr>
            <w:r w:rsidRPr="00351917">
              <w:rPr>
                <w:rFonts w:cs="Arial"/>
                <w:sz w:val="19"/>
                <w:szCs w:val="19"/>
              </w:rPr>
              <w:t>:</w:t>
            </w:r>
          </w:p>
        </w:tc>
        <w:tc>
          <w:tcPr>
            <w:tcW w:w="7781" w:type="dxa"/>
            <w:tcMar>
              <w:left w:w="0" w:type="dxa"/>
              <w:right w:w="0" w:type="dxa"/>
            </w:tcMar>
          </w:tcPr>
          <w:p w14:paraId="50DA6E94" w14:textId="708F9D74" w:rsidR="00275B50" w:rsidRPr="00351917" w:rsidRDefault="00393282" w:rsidP="002D7F52">
            <w:pPr>
              <w:rPr>
                <w:rFonts w:cs="Arial"/>
                <w:sz w:val="19"/>
                <w:szCs w:val="19"/>
              </w:rPr>
            </w:pPr>
            <w:r w:rsidRPr="00351917">
              <w:rPr>
                <w:rFonts w:cs="Arial"/>
                <w:sz w:val="19"/>
                <w:szCs w:val="19"/>
              </w:rPr>
              <w:t>Ien Kiggen</w:t>
            </w:r>
          </w:p>
        </w:tc>
      </w:tr>
      <w:tr w:rsidR="00CD1680" w:rsidRPr="00351917" w14:paraId="50DA6E99" w14:textId="77777777" w:rsidTr="00275B50">
        <w:tc>
          <w:tcPr>
            <w:tcW w:w="1019" w:type="dxa"/>
            <w:tcMar>
              <w:left w:w="0" w:type="dxa"/>
              <w:right w:w="0" w:type="dxa"/>
            </w:tcMar>
          </w:tcPr>
          <w:p w14:paraId="50DA6E96" w14:textId="77777777" w:rsidR="00275B50" w:rsidRPr="00351917" w:rsidRDefault="003B1181" w:rsidP="002D7F52">
            <w:pPr>
              <w:rPr>
                <w:rFonts w:cs="Arial"/>
                <w:b/>
                <w:sz w:val="19"/>
                <w:szCs w:val="19"/>
              </w:rPr>
            </w:pPr>
          </w:p>
        </w:tc>
        <w:tc>
          <w:tcPr>
            <w:tcW w:w="272" w:type="dxa"/>
          </w:tcPr>
          <w:p w14:paraId="50DA6E97" w14:textId="77777777" w:rsidR="00275B50" w:rsidRPr="00351917" w:rsidRDefault="003B1181" w:rsidP="002D7F52">
            <w:pPr>
              <w:rPr>
                <w:rFonts w:cs="Arial"/>
                <w:sz w:val="19"/>
                <w:szCs w:val="19"/>
              </w:rPr>
            </w:pPr>
          </w:p>
        </w:tc>
        <w:tc>
          <w:tcPr>
            <w:tcW w:w="7781" w:type="dxa"/>
            <w:tcMar>
              <w:left w:w="0" w:type="dxa"/>
              <w:right w:w="0" w:type="dxa"/>
            </w:tcMar>
          </w:tcPr>
          <w:p w14:paraId="50DA6E98" w14:textId="77777777" w:rsidR="00275B50" w:rsidRPr="00351917" w:rsidRDefault="003B1181" w:rsidP="002D7F52">
            <w:pPr>
              <w:rPr>
                <w:rFonts w:cs="Arial"/>
                <w:sz w:val="19"/>
                <w:szCs w:val="19"/>
              </w:rPr>
            </w:pPr>
          </w:p>
        </w:tc>
      </w:tr>
      <w:tr w:rsidR="00CD1680" w:rsidRPr="00351917" w14:paraId="50DA6E9D" w14:textId="77777777" w:rsidTr="00275B50">
        <w:tc>
          <w:tcPr>
            <w:tcW w:w="1019" w:type="dxa"/>
            <w:tcMar>
              <w:left w:w="0" w:type="dxa"/>
              <w:right w:w="0" w:type="dxa"/>
            </w:tcMar>
          </w:tcPr>
          <w:p w14:paraId="50DA6E9A" w14:textId="77777777" w:rsidR="00275B50" w:rsidRPr="00351917" w:rsidRDefault="00636F6B" w:rsidP="002D7F52">
            <w:pPr>
              <w:rPr>
                <w:rFonts w:cs="Arial"/>
                <w:b/>
                <w:sz w:val="19"/>
                <w:szCs w:val="19"/>
              </w:rPr>
            </w:pPr>
            <w:r w:rsidRPr="00351917">
              <w:rPr>
                <w:rFonts w:cs="Arial"/>
                <w:b/>
                <w:sz w:val="19"/>
                <w:szCs w:val="19"/>
              </w:rPr>
              <w:t xml:space="preserve">Van </w:t>
            </w:r>
          </w:p>
        </w:tc>
        <w:tc>
          <w:tcPr>
            <w:tcW w:w="272" w:type="dxa"/>
          </w:tcPr>
          <w:p w14:paraId="50DA6E9B" w14:textId="77777777" w:rsidR="00275B50" w:rsidRPr="00351917" w:rsidRDefault="00636F6B" w:rsidP="002D7F52">
            <w:pPr>
              <w:rPr>
                <w:rFonts w:cs="Arial"/>
                <w:sz w:val="19"/>
                <w:szCs w:val="19"/>
              </w:rPr>
            </w:pPr>
            <w:r w:rsidRPr="00351917">
              <w:rPr>
                <w:rFonts w:cs="Arial"/>
                <w:sz w:val="19"/>
                <w:szCs w:val="19"/>
              </w:rPr>
              <w:t>:</w:t>
            </w:r>
          </w:p>
        </w:tc>
        <w:tc>
          <w:tcPr>
            <w:tcW w:w="7781" w:type="dxa"/>
            <w:tcMar>
              <w:left w:w="0" w:type="dxa"/>
              <w:right w:w="0" w:type="dxa"/>
            </w:tcMar>
          </w:tcPr>
          <w:p w14:paraId="50DA6E9C" w14:textId="77777777" w:rsidR="00275B50" w:rsidRPr="00351917" w:rsidRDefault="00636F6B" w:rsidP="002D7F52">
            <w:pPr>
              <w:rPr>
                <w:rFonts w:cs="Arial"/>
                <w:sz w:val="19"/>
                <w:szCs w:val="19"/>
              </w:rPr>
            </w:pPr>
            <w:r w:rsidRPr="00351917">
              <w:rPr>
                <w:rFonts w:cs="Arial"/>
                <w:sz w:val="19"/>
                <w:szCs w:val="19"/>
              </w:rPr>
              <w:t>Gerda van Haaren</w:t>
            </w:r>
          </w:p>
        </w:tc>
      </w:tr>
      <w:tr w:rsidR="00CD1680" w:rsidRPr="00351917" w14:paraId="50DA6EA1" w14:textId="77777777" w:rsidTr="00275B50">
        <w:tc>
          <w:tcPr>
            <w:tcW w:w="1019" w:type="dxa"/>
            <w:tcMar>
              <w:left w:w="0" w:type="dxa"/>
              <w:right w:w="0" w:type="dxa"/>
            </w:tcMar>
          </w:tcPr>
          <w:p w14:paraId="50DA6E9E" w14:textId="77777777" w:rsidR="00275B50" w:rsidRPr="00351917" w:rsidRDefault="003B1181" w:rsidP="002D7F52">
            <w:pPr>
              <w:rPr>
                <w:rFonts w:cs="Arial"/>
                <w:b/>
                <w:sz w:val="19"/>
                <w:szCs w:val="19"/>
              </w:rPr>
            </w:pPr>
          </w:p>
        </w:tc>
        <w:tc>
          <w:tcPr>
            <w:tcW w:w="272" w:type="dxa"/>
          </w:tcPr>
          <w:p w14:paraId="50DA6E9F" w14:textId="77777777" w:rsidR="00275B50" w:rsidRPr="00351917" w:rsidRDefault="003B1181" w:rsidP="002D7F52">
            <w:pPr>
              <w:rPr>
                <w:rFonts w:cs="Arial"/>
                <w:sz w:val="19"/>
                <w:szCs w:val="19"/>
              </w:rPr>
            </w:pPr>
          </w:p>
        </w:tc>
        <w:tc>
          <w:tcPr>
            <w:tcW w:w="7781" w:type="dxa"/>
            <w:tcMar>
              <w:left w:w="0" w:type="dxa"/>
              <w:right w:w="0" w:type="dxa"/>
            </w:tcMar>
          </w:tcPr>
          <w:p w14:paraId="50DA6EA0" w14:textId="77777777" w:rsidR="00275B50" w:rsidRPr="00351917" w:rsidRDefault="003B1181" w:rsidP="002D7F52">
            <w:pPr>
              <w:rPr>
                <w:rFonts w:cs="Arial"/>
                <w:sz w:val="19"/>
                <w:szCs w:val="19"/>
              </w:rPr>
            </w:pPr>
          </w:p>
        </w:tc>
      </w:tr>
      <w:tr w:rsidR="00CD1680" w:rsidRPr="00351917" w14:paraId="50DA6EA5" w14:textId="77777777" w:rsidTr="00275B50">
        <w:tc>
          <w:tcPr>
            <w:tcW w:w="1019" w:type="dxa"/>
            <w:tcMar>
              <w:left w:w="0" w:type="dxa"/>
              <w:right w:w="0" w:type="dxa"/>
            </w:tcMar>
          </w:tcPr>
          <w:p w14:paraId="50DA6EA2" w14:textId="77777777" w:rsidR="00275B50" w:rsidRPr="00351917" w:rsidRDefault="00636F6B" w:rsidP="002D7F52">
            <w:pPr>
              <w:rPr>
                <w:rFonts w:cs="Arial"/>
                <w:b/>
                <w:sz w:val="19"/>
                <w:szCs w:val="19"/>
              </w:rPr>
            </w:pPr>
            <w:r w:rsidRPr="00351917">
              <w:rPr>
                <w:rFonts w:cs="Arial"/>
                <w:b/>
                <w:sz w:val="19"/>
                <w:szCs w:val="19"/>
              </w:rPr>
              <w:t xml:space="preserve">Betreft </w:t>
            </w:r>
          </w:p>
        </w:tc>
        <w:tc>
          <w:tcPr>
            <w:tcW w:w="272" w:type="dxa"/>
          </w:tcPr>
          <w:p w14:paraId="50DA6EA3" w14:textId="77777777" w:rsidR="00275B50" w:rsidRPr="00351917" w:rsidRDefault="00636F6B" w:rsidP="002D7F52">
            <w:pPr>
              <w:rPr>
                <w:rFonts w:cs="Arial"/>
                <w:sz w:val="19"/>
                <w:szCs w:val="19"/>
              </w:rPr>
            </w:pPr>
            <w:r w:rsidRPr="00351917">
              <w:rPr>
                <w:rFonts w:cs="Arial"/>
                <w:sz w:val="19"/>
                <w:szCs w:val="19"/>
              </w:rPr>
              <w:t>:</w:t>
            </w:r>
          </w:p>
        </w:tc>
        <w:tc>
          <w:tcPr>
            <w:tcW w:w="7781" w:type="dxa"/>
            <w:tcMar>
              <w:left w:w="0" w:type="dxa"/>
              <w:right w:w="0" w:type="dxa"/>
            </w:tcMar>
          </w:tcPr>
          <w:p w14:paraId="50DA6EA4" w14:textId="5F3D3383" w:rsidR="00275B50" w:rsidRPr="00351917" w:rsidRDefault="00636F6B" w:rsidP="002D7F52">
            <w:pPr>
              <w:rPr>
                <w:rFonts w:cs="Arial"/>
                <w:sz w:val="19"/>
                <w:szCs w:val="19"/>
              </w:rPr>
            </w:pPr>
            <w:r w:rsidRPr="00351917">
              <w:rPr>
                <w:rFonts w:cs="Arial"/>
                <w:sz w:val="19"/>
                <w:szCs w:val="19"/>
              </w:rPr>
              <w:t>Onde</w:t>
            </w:r>
            <w:r w:rsidR="006653A9" w:rsidRPr="00351917">
              <w:rPr>
                <w:rFonts w:cs="Arial"/>
                <w:sz w:val="19"/>
                <w:szCs w:val="19"/>
              </w:rPr>
              <w:t>r</w:t>
            </w:r>
            <w:r w:rsidRPr="00351917">
              <w:rPr>
                <w:rFonts w:cs="Arial"/>
                <w:sz w:val="19"/>
                <w:szCs w:val="19"/>
              </w:rPr>
              <w:t xml:space="preserve">wijs </w:t>
            </w:r>
            <w:r w:rsidR="00351917">
              <w:rPr>
                <w:rFonts w:cs="Arial"/>
                <w:sz w:val="19"/>
                <w:szCs w:val="19"/>
              </w:rPr>
              <w:t xml:space="preserve">en ondersteuning </w:t>
            </w:r>
            <w:r w:rsidRPr="00351917">
              <w:rPr>
                <w:rFonts w:cs="Arial"/>
                <w:sz w:val="19"/>
                <w:szCs w:val="19"/>
              </w:rPr>
              <w:t>aan hoogbegaafde leerlingen</w:t>
            </w:r>
          </w:p>
        </w:tc>
      </w:tr>
    </w:tbl>
    <w:p w14:paraId="50DA6EA6" w14:textId="77777777" w:rsidR="002D7F52" w:rsidRPr="00351917" w:rsidRDefault="003B1181" w:rsidP="002D7F52">
      <w:pPr>
        <w:rPr>
          <w:rFonts w:cs="Arial"/>
          <w:sz w:val="19"/>
          <w:szCs w:val="19"/>
        </w:rPr>
      </w:pPr>
      <w:r>
        <w:rPr>
          <w:rFonts w:cs="Arial"/>
          <w:noProof/>
          <w:sz w:val="19"/>
          <w:szCs w:val="19"/>
          <w:lang w:eastAsia="nl-NL"/>
        </w:rPr>
        <w:pict w14:anchorId="50DA6EAA">
          <v:line id="Rechte verbindingslijn 1" o:spid="_x0000_s1026" style="position:absolute;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1pt,4.9pt" to="452.75pt,4.9pt" strokeweight=".5pt">
            <v:stroke joinstyle="miter"/>
          </v:line>
        </w:pict>
      </w:r>
    </w:p>
    <w:p w14:paraId="21621F2C" w14:textId="77777777" w:rsidR="00EF2AFF" w:rsidRPr="00351917" w:rsidRDefault="00EF2AFF" w:rsidP="00204F5A">
      <w:pPr>
        <w:contextualSpacing/>
        <w:rPr>
          <w:rFonts w:cs="Arial"/>
          <w:b/>
          <w:sz w:val="19"/>
          <w:szCs w:val="19"/>
        </w:rPr>
      </w:pPr>
    </w:p>
    <w:p w14:paraId="412344EA" w14:textId="3391D88C" w:rsidR="00EF2AFF" w:rsidRPr="00351917" w:rsidRDefault="00EF2AFF" w:rsidP="00204F5A">
      <w:pPr>
        <w:contextualSpacing/>
        <w:rPr>
          <w:rFonts w:cs="Arial"/>
          <w:b/>
          <w:sz w:val="22"/>
        </w:rPr>
      </w:pPr>
      <w:r w:rsidRPr="00351917">
        <w:rPr>
          <w:rFonts w:cs="Arial"/>
          <w:b/>
          <w:sz w:val="22"/>
        </w:rPr>
        <w:t>Uitgangspunt</w:t>
      </w:r>
    </w:p>
    <w:p w14:paraId="00F75B09" w14:textId="5C6DE04F" w:rsidR="00FE2661" w:rsidRPr="00351917" w:rsidRDefault="00B2349B" w:rsidP="00204F5A">
      <w:pPr>
        <w:contextualSpacing/>
        <w:rPr>
          <w:rFonts w:cs="Arial"/>
          <w:sz w:val="19"/>
          <w:szCs w:val="19"/>
        </w:rPr>
      </w:pPr>
      <w:r w:rsidRPr="00351917">
        <w:rPr>
          <w:rFonts w:cs="Arial"/>
          <w:sz w:val="19"/>
          <w:szCs w:val="19"/>
        </w:rPr>
        <w:t>I</w:t>
      </w:r>
      <w:r w:rsidR="00FE2661" w:rsidRPr="00351917">
        <w:rPr>
          <w:rFonts w:cs="Arial"/>
          <w:sz w:val="19"/>
          <w:szCs w:val="19"/>
        </w:rPr>
        <w:t>eder kind</w:t>
      </w:r>
      <w:r w:rsidRPr="00351917">
        <w:rPr>
          <w:rFonts w:cs="Arial"/>
          <w:sz w:val="19"/>
          <w:szCs w:val="19"/>
        </w:rPr>
        <w:t xml:space="preserve"> moet</w:t>
      </w:r>
      <w:r w:rsidR="00FE2661" w:rsidRPr="00351917">
        <w:rPr>
          <w:rFonts w:cs="Arial"/>
          <w:sz w:val="19"/>
          <w:szCs w:val="19"/>
        </w:rPr>
        <w:t xml:space="preserve"> zich gesteund en gestimuleerd weten met uitdagend onderwijs.</w:t>
      </w:r>
      <w:r w:rsidRPr="00351917">
        <w:rPr>
          <w:rFonts w:cs="Arial"/>
          <w:sz w:val="19"/>
          <w:szCs w:val="19"/>
        </w:rPr>
        <w:t xml:space="preserve"> Binnen het onderwijs moet aandacht zijn zowel voor leerlingen met beperktere leervermogens als voor leerlingen met kenmerken van </w:t>
      </w:r>
      <w:bookmarkStart w:id="0" w:name="_GoBack"/>
      <w:bookmarkEnd w:id="0"/>
      <w:r w:rsidRPr="00351917">
        <w:rPr>
          <w:rFonts w:cs="Arial"/>
          <w:sz w:val="19"/>
          <w:szCs w:val="19"/>
        </w:rPr>
        <w:t xml:space="preserve">(hoog)begaafdheid. </w:t>
      </w:r>
      <w:r w:rsidR="000C0234" w:rsidRPr="00351917">
        <w:rPr>
          <w:rFonts w:cs="Arial"/>
          <w:sz w:val="19"/>
          <w:szCs w:val="19"/>
        </w:rPr>
        <w:t>Voor deze leerlingen is een stimulerende leeromgeving nodig, met leraren die rijk onderwijs geven, aansluitend bij de specifieke onderwijsbehoeften van (hoog)begaafde leerlingen.</w:t>
      </w:r>
    </w:p>
    <w:p w14:paraId="4BCD2768" w14:textId="77777777" w:rsidR="00FE2661" w:rsidRPr="00351917" w:rsidRDefault="00FE2661" w:rsidP="00204F5A">
      <w:pPr>
        <w:contextualSpacing/>
        <w:rPr>
          <w:rFonts w:cs="Arial"/>
          <w:sz w:val="19"/>
          <w:szCs w:val="19"/>
        </w:rPr>
      </w:pPr>
    </w:p>
    <w:p w14:paraId="74E7021D" w14:textId="0B7C1855" w:rsidR="000C0234" w:rsidRPr="00351917" w:rsidRDefault="000C0234" w:rsidP="00204F5A">
      <w:pPr>
        <w:contextualSpacing/>
        <w:rPr>
          <w:rFonts w:cs="Arial"/>
          <w:sz w:val="19"/>
          <w:szCs w:val="19"/>
        </w:rPr>
      </w:pPr>
      <w:r w:rsidRPr="00351917">
        <w:rPr>
          <w:rFonts w:cs="Arial"/>
          <w:sz w:val="19"/>
          <w:szCs w:val="19"/>
        </w:rPr>
        <w:t xml:space="preserve">Onderwijs aan (hoog)begaafde leerlingen valt binnen het kader van passend onderwijs. </w:t>
      </w:r>
      <w:r w:rsidR="00932B07" w:rsidRPr="00351917">
        <w:rPr>
          <w:rFonts w:cs="Arial"/>
          <w:sz w:val="19"/>
          <w:szCs w:val="19"/>
        </w:rPr>
        <w:t>De samenwerkingsverbanden passend onderwijs zijn verantwoordelijk voor een dekkend onderwijsaanbod in de regio voor alle leerlingen met een ondersteunings- of ontwikkelvraag, ook als deze vraag voortkomt uit hun (hoog)begaafdheid.</w:t>
      </w:r>
      <w:r w:rsidRPr="00351917">
        <w:rPr>
          <w:rFonts w:cs="Arial"/>
          <w:sz w:val="19"/>
          <w:szCs w:val="19"/>
        </w:rPr>
        <w:t xml:space="preserve"> </w:t>
      </w:r>
      <w:r w:rsidR="00FF016A" w:rsidRPr="00351917">
        <w:rPr>
          <w:rFonts w:cs="Arial"/>
          <w:sz w:val="19"/>
          <w:szCs w:val="19"/>
        </w:rPr>
        <w:t xml:space="preserve">Dit aanbod is in het land </w:t>
      </w:r>
      <w:r w:rsidR="00045454" w:rsidRPr="00351917">
        <w:rPr>
          <w:rFonts w:cs="Arial"/>
          <w:sz w:val="19"/>
          <w:szCs w:val="19"/>
        </w:rPr>
        <w:t xml:space="preserve">niet overal </w:t>
      </w:r>
      <w:r w:rsidR="00FF016A" w:rsidRPr="00351917">
        <w:rPr>
          <w:rFonts w:cs="Arial"/>
          <w:sz w:val="19"/>
          <w:szCs w:val="19"/>
        </w:rPr>
        <w:t>op orde en daarom stelt het huidige kabinet de komende jaren extra subsidie beschikbaar aan samenwerkingsverbanden om een dekkend onderwijs- en ondersteuningsaanbod voor (hoog)begaafde leerlingen op te zetten, uit te breiden of te bestendigen</w:t>
      </w:r>
      <w:r w:rsidR="00FF016A" w:rsidRPr="00351917">
        <w:rPr>
          <w:rStyle w:val="Voetnootmarkering"/>
          <w:rFonts w:cs="Arial"/>
          <w:sz w:val="19"/>
          <w:szCs w:val="19"/>
        </w:rPr>
        <w:footnoteReference w:id="1"/>
      </w:r>
      <w:r w:rsidR="00FF016A" w:rsidRPr="00351917">
        <w:rPr>
          <w:rFonts w:cs="Arial"/>
          <w:sz w:val="19"/>
          <w:szCs w:val="19"/>
        </w:rPr>
        <w:t xml:space="preserve">. </w:t>
      </w:r>
    </w:p>
    <w:p w14:paraId="11E872C3" w14:textId="77777777" w:rsidR="000C0234" w:rsidRPr="00351917" w:rsidRDefault="000C0234" w:rsidP="00204F5A">
      <w:pPr>
        <w:contextualSpacing/>
        <w:rPr>
          <w:rFonts w:cs="Arial"/>
          <w:sz w:val="19"/>
          <w:szCs w:val="19"/>
        </w:rPr>
      </w:pPr>
    </w:p>
    <w:p w14:paraId="29A487A0" w14:textId="417B30D7" w:rsidR="00FF016A" w:rsidRPr="00351917" w:rsidRDefault="00FF016A" w:rsidP="00204F5A">
      <w:pPr>
        <w:contextualSpacing/>
        <w:rPr>
          <w:rFonts w:cs="Arial"/>
          <w:sz w:val="19"/>
          <w:szCs w:val="19"/>
        </w:rPr>
      </w:pPr>
      <w:r w:rsidRPr="00351917">
        <w:rPr>
          <w:rFonts w:cs="Arial"/>
          <w:sz w:val="19"/>
          <w:szCs w:val="19"/>
        </w:rPr>
        <w:t>Ook de beide s</w:t>
      </w:r>
      <w:r w:rsidR="00BB53D7" w:rsidRPr="00351917">
        <w:rPr>
          <w:rFonts w:cs="Arial"/>
          <w:sz w:val="19"/>
          <w:szCs w:val="19"/>
        </w:rPr>
        <w:t>amenwerkingsverband</w:t>
      </w:r>
      <w:r w:rsidRPr="00351917">
        <w:rPr>
          <w:rFonts w:cs="Arial"/>
          <w:sz w:val="19"/>
          <w:szCs w:val="19"/>
        </w:rPr>
        <w:t xml:space="preserve">en passend onderwijs PO en VO </w:t>
      </w:r>
      <w:r w:rsidR="007B7EE2" w:rsidRPr="00351917">
        <w:rPr>
          <w:rFonts w:cs="Arial"/>
          <w:sz w:val="19"/>
          <w:szCs w:val="19"/>
        </w:rPr>
        <w:t xml:space="preserve">(SWV) </w:t>
      </w:r>
      <w:r w:rsidRPr="00351917">
        <w:rPr>
          <w:rFonts w:cs="Arial"/>
          <w:sz w:val="19"/>
          <w:szCs w:val="19"/>
        </w:rPr>
        <w:t xml:space="preserve">in de regio doen </w:t>
      </w:r>
      <w:r w:rsidR="00932B07" w:rsidRPr="00351917">
        <w:rPr>
          <w:rFonts w:cs="Arial"/>
          <w:sz w:val="19"/>
          <w:szCs w:val="19"/>
        </w:rPr>
        <w:t>een beroep op de subsidieregeling van het Rijk</w:t>
      </w:r>
      <w:r w:rsidRPr="00351917">
        <w:rPr>
          <w:rFonts w:cs="Arial"/>
          <w:sz w:val="19"/>
          <w:szCs w:val="19"/>
        </w:rPr>
        <w:t>, die loopt in de periode 2019 t/m 2023</w:t>
      </w:r>
      <w:r w:rsidR="00932B07" w:rsidRPr="00351917">
        <w:rPr>
          <w:rFonts w:cs="Arial"/>
          <w:sz w:val="19"/>
          <w:szCs w:val="19"/>
        </w:rPr>
        <w:t xml:space="preserve">. </w:t>
      </w:r>
    </w:p>
    <w:p w14:paraId="0BB4A1EE" w14:textId="77777777" w:rsidR="00FF016A" w:rsidRPr="00351917" w:rsidRDefault="00FF016A" w:rsidP="00204F5A">
      <w:pPr>
        <w:contextualSpacing/>
        <w:rPr>
          <w:rFonts w:cs="Arial"/>
          <w:sz w:val="19"/>
          <w:szCs w:val="19"/>
        </w:rPr>
      </w:pPr>
    </w:p>
    <w:p w14:paraId="32BE37F1" w14:textId="53D34FE7" w:rsidR="00045454" w:rsidRPr="00351917" w:rsidRDefault="001A4DC1" w:rsidP="00204F5A">
      <w:pPr>
        <w:contextualSpacing/>
        <w:rPr>
          <w:rFonts w:cs="Arial"/>
          <w:b/>
          <w:sz w:val="22"/>
        </w:rPr>
      </w:pPr>
      <w:r w:rsidRPr="00351917">
        <w:rPr>
          <w:rFonts w:cs="Arial"/>
          <w:b/>
          <w:sz w:val="22"/>
        </w:rPr>
        <w:t>1.</w:t>
      </w:r>
      <w:r w:rsidRPr="00351917">
        <w:rPr>
          <w:rFonts w:cs="Arial"/>
          <w:b/>
          <w:sz w:val="22"/>
        </w:rPr>
        <w:tab/>
      </w:r>
      <w:r w:rsidR="00045454" w:rsidRPr="00351917">
        <w:rPr>
          <w:rFonts w:cs="Arial"/>
          <w:b/>
          <w:sz w:val="22"/>
        </w:rPr>
        <w:t>Primair onderwijs</w:t>
      </w:r>
    </w:p>
    <w:p w14:paraId="1D0FF9AE" w14:textId="77777777" w:rsidR="00393282" w:rsidRPr="00351917" w:rsidRDefault="00FF016A" w:rsidP="00204F5A">
      <w:pPr>
        <w:contextualSpacing/>
        <w:rPr>
          <w:rFonts w:cs="Arial"/>
          <w:sz w:val="19"/>
          <w:szCs w:val="19"/>
        </w:rPr>
      </w:pPr>
      <w:r w:rsidRPr="00351917">
        <w:rPr>
          <w:rFonts w:cs="Arial"/>
          <w:sz w:val="19"/>
          <w:szCs w:val="19"/>
        </w:rPr>
        <w:t>SWV</w:t>
      </w:r>
      <w:r w:rsidR="00932B07" w:rsidRPr="00351917">
        <w:rPr>
          <w:rFonts w:cs="Arial"/>
          <w:sz w:val="19"/>
          <w:szCs w:val="19"/>
        </w:rPr>
        <w:t xml:space="preserve"> PassendWijs </w:t>
      </w:r>
      <w:r w:rsidRPr="00351917">
        <w:rPr>
          <w:rFonts w:cs="Arial"/>
          <w:sz w:val="19"/>
          <w:szCs w:val="19"/>
        </w:rPr>
        <w:t xml:space="preserve">PO neemt in zijn </w:t>
      </w:r>
      <w:r w:rsidR="00393282" w:rsidRPr="00351917">
        <w:rPr>
          <w:rFonts w:cs="Arial"/>
          <w:sz w:val="19"/>
          <w:szCs w:val="19"/>
        </w:rPr>
        <w:t>subsidie</w:t>
      </w:r>
      <w:r w:rsidRPr="00351917">
        <w:rPr>
          <w:rFonts w:cs="Arial"/>
          <w:sz w:val="19"/>
          <w:szCs w:val="19"/>
        </w:rPr>
        <w:t>aanvraag</w:t>
      </w:r>
      <w:r w:rsidR="00BB53D7" w:rsidRPr="00351917">
        <w:rPr>
          <w:rFonts w:cs="Arial"/>
          <w:sz w:val="19"/>
          <w:szCs w:val="19"/>
        </w:rPr>
        <w:t xml:space="preserve"> </w:t>
      </w:r>
      <w:r w:rsidRPr="00351917">
        <w:rPr>
          <w:rFonts w:cs="Arial"/>
          <w:sz w:val="19"/>
          <w:szCs w:val="19"/>
        </w:rPr>
        <w:t xml:space="preserve">als vertrekpunt </w:t>
      </w:r>
      <w:r w:rsidR="00BB53D7" w:rsidRPr="00351917">
        <w:rPr>
          <w:rFonts w:cs="Arial"/>
          <w:sz w:val="19"/>
          <w:szCs w:val="19"/>
        </w:rPr>
        <w:t>dat álle kinderen het recht hebben om elke dag iets nieuws te leren.</w:t>
      </w:r>
      <w:r w:rsidRPr="00351917">
        <w:rPr>
          <w:rFonts w:cs="Arial"/>
          <w:sz w:val="19"/>
          <w:szCs w:val="19"/>
        </w:rPr>
        <w:t xml:space="preserve"> </w:t>
      </w:r>
      <w:r w:rsidR="00045454" w:rsidRPr="00351917">
        <w:rPr>
          <w:rFonts w:cs="Arial"/>
          <w:sz w:val="19"/>
          <w:szCs w:val="19"/>
        </w:rPr>
        <w:t xml:space="preserve">Het samenwerkingsverband ziet </w:t>
      </w:r>
      <w:r w:rsidR="007B7EE2" w:rsidRPr="00351917">
        <w:rPr>
          <w:rFonts w:cs="Arial"/>
          <w:sz w:val="19"/>
          <w:szCs w:val="19"/>
        </w:rPr>
        <w:t xml:space="preserve">het aantal hulpvragen rondom begaafde leerlingen toenemen en complexer worden. Er zijn op scholen meerdere initiatieven in de basis- en extra ondersteuning die om </w:t>
      </w:r>
      <w:r w:rsidR="00393282" w:rsidRPr="00351917">
        <w:rPr>
          <w:rFonts w:cs="Arial"/>
          <w:sz w:val="19"/>
          <w:szCs w:val="19"/>
        </w:rPr>
        <w:t>doorontwikkeling vragen en er is een toenemende professionaliseringsvraag van leerkrachten, ib'ers en directie.</w:t>
      </w:r>
    </w:p>
    <w:p w14:paraId="466B4298" w14:textId="77777777" w:rsidR="006B7171" w:rsidRPr="00351917" w:rsidRDefault="00393282" w:rsidP="00204F5A">
      <w:pPr>
        <w:contextualSpacing/>
        <w:rPr>
          <w:rFonts w:cs="Arial"/>
          <w:sz w:val="19"/>
          <w:szCs w:val="19"/>
        </w:rPr>
      </w:pPr>
      <w:r w:rsidRPr="00351917">
        <w:rPr>
          <w:rFonts w:cs="Arial"/>
          <w:sz w:val="19"/>
          <w:szCs w:val="19"/>
        </w:rPr>
        <w:t>Het SWV wil (passend) onderwijs, ook aan (hoog)begaafden) realiseren zoveel mogelijk in de nabije omgeving van het kind.</w:t>
      </w:r>
      <w:r w:rsidR="006B7171" w:rsidRPr="00351917">
        <w:rPr>
          <w:rFonts w:cs="Arial"/>
          <w:sz w:val="19"/>
          <w:szCs w:val="19"/>
        </w:rPr>
        <w:t xml:space="preserve"> De invulling daarvan vraagt om (extra) expertise.</w:t>
      </w:r>
    </w:p>
    <w:p w14:paraId="79FF72CC" w14:textId="77777777" w:rsidR="006B7171" w:rsidRPr="00351917" w:rsidRDefault="006B7171" w:rsidP="00204F5A">
      <w:pPr>
        <w:contextualSpacing/>
        <w:rPr>
          <w:rFonts w:cs="Arial"/>
          <w:sz w:val="19"/>
          <w:szCs w:val="19"/>
        </w:rPr>
      </w:pPr>
    </w:p>
    <w:p w14:paraId="5FE33FC7" w14:textId="431D4EE8" w:rsidR="006B7171" w:rsidRPr="00351917" w:rsidRDefault="006B7171" w:rsidP="00204F5A">
      <w:pPr>
        <w:contextualSpacing/>
        <w:rPr>
          <w:rFonts w:cs="Arial"/>
          <w:sz w:val="19"/>
          <w:szCs w:val="19"/>
        </w:rPr>
      </w:pPr>
      <w:r w:rsidRPr="00351917">
        <w:rPr>
          <w:rFonts w:cs="Arial"/>
          <w:sz w:val="19"/>
          <w:szCs w:val="19"/>
        </w:rPr>
        <w:t xml:space="preserve">Het SWV wil de ondersteuning aan begaafde leerlingen </w:t>
      </w:r>
      <w:r w:rsidR="00E113B9" w:rsidRPr="00351917">
        <w:rPr>
          <w:rFonts w:cs="Arial"/>
          <w:sz w:val="19"/>
          <w:szCs w:val="19"/>
        </w:rPr>
        <w:t xml:space="preserve">op meerdere niveaus </w:t>
      </w:r>
      <w:r w:rsidRPr="00351917">
        <w:rPr>
          <w:rFonts w:cs="Arial"/>
          <w:sz w:val="19"/>
          <w:szCs w:val="19"/>
        </w:rPr>
        <w:t>als volgt invulling geven:</w:t>
      </w:r>
    </w:p>
    <w:p w14:paraId="50DA6EA8" w14:textId="42FEB05D" w:rsidR="00436554" w:rsidRPr="00351917" w:rsidRDefault="003B1181" w:rsidP="00204F5A">
      <w:pPr>
        <w:contextualSpacing/>
        <w:rPr>
          <w:rFonts w:cs="Arial"/>
          <w:sz w:val="19"/>
          <w:szCs w:val="19"/>
        </w:rPr>
      </w:pPr>
    </w:p>
    <w:p w14:paraId="3FC0B521" w14:textId="5EF1888E" w:rsidR="006B7171" w:rsidRPr="00351917" w:rsidRDefault="006B7171" w:rsidP="00204F5A">
      <w:pPr>
        <w:contextualSpacing/>
        <w:rPr>
          <w:rFonts w:cs="Arial"/>
          <w:i/>
          <w:sz w:val="19"/>
          <w:szCs w:val="19"/>
        </w:rPr>
      </w:pPr>
      <w:r w:rsidRPr="00351917">
        <w:rPr>
          <w:rFonts w:cs="Arial"/>
          <w:i/>
          <w:sz w:val="19"/>
          <w:szCs w:val="19"/>
        </w:rPr>
        <w:t>Basisondersteuning</w:t>
      </w:r>
    </w:p>
    <w:p w14:paraId="50DA6EA9" w14:textId="5AE2A3CA" w:rsidR="00436554" w:rsidRPr="00351917" w:rsidRDefault="00E113B9" w:rsidP="00204F5A">
      <w:pPr>
        <w:contextualSpacing/>
        <w:rPr>
          <w:rFonts w:cs="Arial"/>
          <w:sz w:val="19"/>
          <w:szCs w:val="19"/>
        </w:rPr>
      </w:pPr>
      <w:r w:rsidRPr="00351917">
        <w:rPr>
          <w:rFonts w:cs="Arial"/>
          <w:sz w:val="19"/>
          <w:szCs w:val="19"/>
        </w:rPr>
        <w:t>In de basisondersteuning is het belangrijk om structureel te signaleren, zodat begaafde leerlingen in het vizier komen en er, vanuit een goede signalering, gedifferentieerd kan worden.</w:t>
      </w:r>
      <w:r w:rsidR="001A4DC1" w:rsidRPr="00351917">
        <w:rPr>
          <w:rFonts w:cs="Arial"/>
          <w:sz w:val="19"/>
          <w:szCs w:val="19"/>
        </w:rPr>
        <w:t xml:space="preserve"> Vervolgens kan het onderwijsaanbod worden afgestemd op de behoeften van de betreffende leerling. Voor begaafde leerlingen 'compacten en verrijken' groepsleerkrachten de reguliere lesstof. </w:t>
      </w:r>
    </w:p>
    <w:p w14:paraId="3E83A1CA" w14:textId="2E5AE209" w:rsidR="001A4DC1" w:rsidRPr="00351917" w:rsidRDefault="001A4DC1" w:rsidP="00204F5A">
      <w:pPr>
        <w:contextualSpacing/>
        <w:rPr>
          <w:rFonts w:cs="Arial"/>
          <w:sz w:val="19"/>
          <w:szCs w:val="19"/>
        </w:rPr>
      </w:pPr>
      <w:r w:rsidRPr="00351917">
        <w:rPr>
          <w:rFonts w:cs="Arial"/>
          <w:sz w:val="19"/>
          <w:szCs w:val="19"/>
        </w:rPr>
        <w:lastRenderedPageBreak/>
        <w:t>Op schoolniveau biedt een aantal scholen maatwerk door het vormgeven van een verrijkingsgroep gedurende een of meerdere dagdeel / dagdelen per week. Hier wordt tegemoet gekomen aan het belang van omgaan met ontwikkelingsgelijken en wordt extra ondersteuning geboden op het gebied van ‘leren leren’ en andere belangrijke levensvaardigheden.</w:t>
      </w:r>
    </w:p>
    <w:p w14:paraId="6F9E3B20" w14:textId="77777777" w:rsidR="001A4DC1" w:rsidRPr="00351917" w:rsidRDefault="001A4DC1" w:rsidP="00204F5A">
      <w:pPr>
        <w:contextualSpacing/>
        <w:rPr>
          <w:rFonts w:cs="Arial"/>
          <w:sz w:val="19"/>
          <w:szCs w:val="19"/>
        </w:rPr>
      </w:pPr>
    </w:p>
    <w:p w14:paraId="18491D7A" w14:textId="723F0976" w:rsidR="001A4DC1" w:rsidRPr="00351917" w:rsidRDefault="001A4DC1" w:rsidP="001A4DC1">
      <w:pPr>
        <w:contextualSpacing/>
        <w:rPr>
          <w:rFonts w:cs="Arial"/>
          <w:i/>
          <w:sz w:val="19"/>
          <w:szCs w:val="19"/>
        </w:rPr>
      </w:pPr>
      <w:r w:rsidRPr="00351917">
        <w:rPr>
          <w:rFonts w:cs="Arial"/>
          <w:bCs/>
          <w:i/>
          <w:sz w:val="19"/>
          <w:szCs w:val="19"/>
        </w:rPr>
        <w:t xml:space="preserve">Extra ondersteuning vanuit SWV PassendWijs </w:t>
      </w:r>
    </w:p>
    <w:p w14:paraId="47FC7EBA" w14:textId="44E6296B" w:rsidR="001A4DC1" w:rsidRPr="00351917" w:rsidRDefault="001A4DC1" w:rsidP="001A4DC1">
      <w:pPr>
        <w:contextualSpacing/>
        <w:rPr>
          <w:rFonts w:cs="Arial"/>
          <w:sz w:val="19"/>
          <w:szCs w:val="19"/>
        </w:rPr>
      </w:pPr>
      <w:r w:rsidRPr="00351917">
        <w:rPr>
          <w:rFonts w:cs="Arial"/>
          <w:sz w:val="19"/>
          <w:szCs w:val="19"/>
        </w:rPr>
        <w:t xml:space="preserve">Scholen kunnen zo nodig extra ondersteuning aanvragen vanuit het ondersteuningsteam (consultatie, interventie of een meer uitgebreid arrangement). Een lid van het ondersteuningsteam van PassendWijs kan ondersteuning bieden in bijvoorbeeld het invullen van het aanbod voor meerbegaafde leerlingen in de vorm van co-teaching van de leerkracht en/of intern begeleider. </w:t>
      </w:r>
    </w:p>
    <w:p w14:paraId="244F1BE2" w14:textId="3317AB75" w:rsidR="001A4DC1" w:rsidRPr="00351917" w:rsidRDefault="001A4DC1" w:rsidP="001A4DC1">
      <w:pPr>
        <w:contextualSpacing/>
        <w:rPr>
          <w:rFonts w:cs="Arial"/>
          <w:sz w:val="19"/>
          <w:szCs w:val="19"/>
        </w:rPr>
      </w:pPr>
      <w:r w:rsidRPr="00351917">
        <w:rPr>
          <w:rFonts w:cs="Arial"/>
          <w:sz w:val="19"/>
          <w:szCs w:val="19"/>
        </w:rPr>
        <w:t>Wanneer de hierboven beschreven ondersteuning onvoldoende blijkt en het leren en het welbevinden van het kind in het gedrang komen, zal er een intensiever traject ingezet moeten worden om weer te kunnen aansluiten bij de 'zone van naaste ontwikkeling'. Kinderen kunnen dan deelnemen aan voltijds begaafden onderwijs of maatwerk trajecten in samenwerking met voorzieningen uit de jeugdwet, of in samenwerking met andere scholen voor po en vo.</w:t>
      </w:r>
    </w:p>
    <w:p w14:paraId="771DE3DF" w14:textId="77777777" w:rsidR="001A4DC1" w:rsidRPr="00351917" w:rsidRDefault="001A4DC1" w:rsidP="001A4DC1">
      <w:pPr>
        <w:contextualSpacing/>
        <w:rPr>
          <w:rFonts w:cs="Arial"/>
          <w:sz w:val="19"/>
          <w:szCs w:val="19"/>
        </w:rPr>
      </w:pPr>
    </w:p>
    <w:p w14:paraId="50BBDB05" w14:textId="6CAD3A87" w:rsidR="001A4DC1" w:rsidRPr="00351917" w:rsidRDefault="001A4DC1" w:rsidP="001A4DC1">
      <w:pPr>
        <w:contextualSpacing/>
        <w:rPr>
          <w:rFonts w:cs="Arial"/>
          <w:sz w:val="19"/>
          <w:szCs w:val="19"/>
        </w:rPr>
      </w:pPr>
      <w:r w:rsidRPr="00351917">
        <w:rPr>
          <w:rFonts w:cs="Arial"/>
          <w:sz w:val="19"/>
          <w:szCs w:val="19"/>
        </w:rPr>
        <w:t>In het kader van de subsidieaanvraag bij het Ministerie van OCW wil het SWV van PassendWijs verder de volgende maatregelen treffen:</w:t>
      </w:r>
    </w:p>
    <w:p w14:paraId="256F568D" w14:textId="77777777" w:rsidR="001A4DC1" w:rsidRPr="00351917" w:rsidRDefault="001A4DC1" w:rsidP="001A4DC1">
      <w:pPr>
        <w:contextualSpacing/>
        <w:rPr>
          <w:rFonts w:cs="Arial"/>
          <w:sz w:val="19"/>
          <w:szCs w:val="19"/>
        </w:rPr>
      </w:pPr>
    </w:p>
    <w:p w14:paraId="59D41DDA" w14:textId="77777777" w:rsidR="001A4DC1" w:rsidRPr="00351917" w:rsidRDefault="001A4DC1" w:rsidP="001A4DC1">
      <w:pPr>
        <w:contextualSpacing/>
        <w:rPr>
          <w:rFonts w:cs="Arial"/>
          <w:sz w:val="19"/>
          <w:szCs w:val="19"/>
        </w:rPr>
      </w:pPr>
      <w:r w:rsidRPr="00351917">
        <w:rPr>
          <w:rFonts w:cs="Arial"/>
          <w:b/>
          <w:bCs/>
          <w:sz w:val="19"/>
          <w:szCs w:val="19"/>
        </w:rPr>
        <w:t xml:space="preserve">Basisondersteuning </w:t>
      </w:r>
    </w:p>
    <w:p w14:paraId="398A2B1B" w14:textId="2013F1DB" w:rsidR="001A4DC1" w:rsidRPr="00351917" w:rsidRDefault="001A4DC1" w:rsidP="00351917">
      <w:pPr>
        <w:pStyle w:val="Lijstalinea"/>
        <w:numPr>
          <w:ilvl w:val="0"/>
          <w:numId w:val="1"/>
        </w:numPr>
        <w:rPr>
          <w:rFonts w:cs="Arial"/>
          <w:sz w:val="19"/>
          <w:szCs w:val="19"/>
        </w:rPr>
      </w:pPr>
      <w:r w:rsidRPr="00351917">
        <w:rPr>
          <w:rFonts w:cs="Arial"/>
          <w:sz w:val="19"/>
          <w:szCs w:val="19"/>
        </w:rPr>
        <w:t xml:space="preserve">In elke regio van het SWV wordt een 'lerend netwerk begaafdheid' ingericht om kennis te delen, vakinhoudelijk te ontmoeten ter versterking van de basisondersteuning. Beleidsadvies aan bestuurlijk overleg in de regio. </w:t>
      </w:r>
    </w:p>
    <w:p w14:paraId="04A48EC4" w14:textId="383217E1" w:rsidR="001A4DC1" w:rsidRPr="00351917" w:rsidRDefault="001A4DC1" w:rsidP="00351917">
      <w:pPr>
        <w:pStyle w:val="Lijstalinea"/>
        <w:numPr>
          <w:ilvl w:val="0"/>
          <w:numId w:val="1"/>
        </w:numPr>
        <w:rPr>
          <w:rFonts w:cs="Arial"/>
          <w:sz w:val="19"/>
          <w:szCs w:val="19"/>
        </w:rPr>
      </w:pPr>
      <w:r w:rsidRPr="00351917">
        <w:rPr>
          <w:rFonts w:cs="Arial"/>
          <w:sz w:val="19"/>
          <w:szCs w:val="19"/>
        </w:rPr>
        <w:t xml:space="preserve">Het lerend netwerk formuleert een advies voor de basisondersteuning, met gebruik van good-practice voorbeelden. Scholen worden geacht dit gefaseerd in te voeren in een periode van twee jaar. Evt. ondersteuning bij invoering wordt geleverd door experts vanuit het lerend netwerk in de regio. </w:t>
      </w:r>
    </w:p>
    <w:p w14:paraId="3805B485" w14:textId="74CAEADA" w:rsidR="001A4DC1" w:rsidRPr="00351917" w:rsidRDefault="001A4DC1" w:rsidP="00351917">
      <w:pPr>
        <w:pStyle w:val="Lijstalinea"/>
        <w:numPr>
          <w:ilvl w:val="0"/>
          <w:numId w:val="1"/>
        </w:numPr>
        <w:rPr>
          <w:rFonts w:cs="Arial"/>
          <w:sz w:val="19"/>
          <w:szCs w:val="19"/>
        </w:rPr>
      </w:pPr>
      <w:r w:rsidRPr="00351917">
        <w:rPr>
          <w:rFonts w:cs="Arial"/>
          <w:sz w:val="19"/>
          <w:szCs w:val="19"/>
        </w:rPr>
        <w:t xml:space="preserve">Een professionaliseringsaanbod wordt gerealiseerd voor leerkracht / IB / HB-specialisten. </w:t>
      </w:r>
    </w:p>
    <w:p w14:paraId="4DEB1873" w14:textId="77777777" w:rsidR="001A4DC1" w:rsidRPr="00351917" w:rsidRDefault="001A4DC1" w:rsidP="001A4DC1">
      <w:pPr>
        <w:contextualSpacing/>
        <w:rPr>
          <w:rFonts w:cs="Arial"/>
          <w:sz w:val="19"/>
          <w:szCs w:val="19"/>
        </w:rPr>
      </w:pPr>
    </w:p>
    <w:p w14:paraId="4F15CE37" w14:textId="77777777" w:rsidR="001A4DC1" w:rsidRPr="00351917" w:rsidRDefault="001A4DC1" w:rsidP="001A4DC1">
      <w:pPr>
        <w:contextualSpacing/>
        <w:rPr>
          <w:rFonts w:cs="Arial"/>
          <w:sz w:val="19"/>
          <w:szCs w:val="19"/>
        </w:rPr>
      </w:pPr>
      <w:r w:rsidRPr="00351917">
        <w:rPr>
          <w:rFonts w:cs="Arial"/>
          <w:b/>
          <w:bCs/>
          <w:sz w:val="19"/>
          <w:szCs w:val="19"/>
        </w:rPr>
        <w:t xml:space="preserve">Extra ondersteuning regio </w:t>
      </w:r>
    </w:p>
    <w:p w14:paraId="1294F70A" w14:textId="27A09E6A" w:rsidR="001A4DC1" w:rsidRPr="00351917" w:rsidRDefault="001A4DC1" w:rsidP="00351917">
      <w:pPr>
        <w:pStyle w:val="Lijstalinea"/>
        <w:numPr>
          <w:ilvl w:val="0"/>
          <w:numId w:val="2"/>
        </w:numPr>
        <w:rPr>
          <w:rFonts w:cs="Arial"/>
          <w:sz w:val="19"/>
          <w:szCs w:val="19"/>
        </w:rPr>
      </w:pPr>
      <w:r w:rsidRPr="00351917">
        <w:rPr>
          <w:rFonts w:cs="Arial"/>
          <w:sz w:val="19"/>
          <w:szCs w:val="19"/>
        </w:rPr>
        <w:t xml:space="preserve">In elke regio wordt een vorm van een verrijkingsgroep ingericht voor leerlingen met een begaafdheids- hulpvraag. Focus ligt hierbij op onderwijsbehoefte en niet op labeling. Er wordt gewerkt via het model van </w:t>
      </w:r>
      <w:r w:rsidRPr="00351917">
        <w:rPr>
          <w:rFonts w:cs="Arial"/>
          <w:i/>
          <w:iCs/>
          <w:sz w:val="19"/>
          <w:szCs w:val="19"/>
        </w:rPr>
        <w:t>train de trainer</w:t>
      </w:r>
      <w:r w:rsidRPr="00351917">
        <w:rPr>
          <w:rFonts w:cs="Arial"/>
          <w:sz w:val="19"/>
          <w:szCs w:val="19"/>
        </w:rPr>
        <w:t xml:space="preserve">. </w:t>
      </w:r>
    </w:p>
    <w:p w14:paraId="77D5F30D" w14:textId="57EA0DAA" w:rsidR="001A4DC1" w:rsidRPr="00351917" w:rsidRDefault="001A4DC1" w:rsidP="00351917">
      <w:pPr>
        <w:pStyle w:val="Lijstalinea"/>
        <w:numPr>
          <w:ilvl w:val="0"/>
          <w:numId w:val="2"/>
        </w:numPr>
        <w:rPr>
          <w:rFonts w:cs="Arial"/>
          <w:sz w:val="19"/>
          <w:szCs w:val="19"/>
        </w:rPr>
      </w:pPr>
      <w:r w:rsidRPr="00351917">
        <w:rPr>
          <w:rFonts w:cs="Arial"/>
          <w:sz w:val="19"/>
          <w:szCs w:val="19"/>
        </w:rPr>
        <w:t xml:space="preserve">In elke regio worden intervisiebijeenkomsten georganiseerd voor leerkrachten van leerlingen die deelnemen aan een vorm van een VWL, om de transfer naar het werken in de eigen groep te waarborgen. </w:t>
      </w:r>
    </w:p>
    <w:p w14:paraId="65DA314E" w14:textId="491B25B3" w:rsidR="001A4DC1" w:rsidRPr="00351917" w:rsidRDefault="001A4DC1" w:rsidP="00351917">
      <w:pPr>
        <w:pStyle w:val="Lijstalinea"/>
        <w:numPr>
          <w:ilvl w:val="0"/>
          <w:numId w:val="2"/>
        </w:numPr>
        <w:rPr>
          <w:rFonts w:cs="Arial"/>
          <w:sz w:val="19"/>
          <w:szCs w:val="19"/>
        </w:rPr>
      </w:pPr>
      <w:r w:rsidRPr="00351917">
        <w:rPr>
          <w:rFonts w:cs="Arial"/>
          <w:sz w:val="19"/>
          <w:szCs w:val="19"/>
        </w:rPr>
        <w:t xml:space="preserve">In elke regio worden ouderbijeenkomsten georganiseerd over thema’s als: “hoe om te gaan met interesse en nieuwsgierigheid bij kinderen?” </w:t>
      </w:r>
    </w:p>
    <w:p w14:paraId="7EA279A3" w14:textId="084000C5" w:rsidR="001A4DC1" w:rsidRPr="00351917" w:rsidRDefault="001A4DC1" w:rsidP="00351917">
      <w:pPr>
        <w:pStyle w:val="Lijstalinea"/>
        <w:numPr>
          <w:ilvl w:val="0"/>
          <w:numId w:val="2"/>
        </w:numPr>
        <w:rPr>
          <w:rFonts w:cs="Arial"/>
          <w:sz w:val="19"/>
          <w:szCs w:val="19"/>
        </w:rPr>
      </w:pPr>
      <w:r w:rsidRPr="00351917">
        <w:rPr>
          <w:rFonts w:cs="Arial"/>
          <w:sz w:val="19"/>
          <w:szCs w:val="19"/>
        </w:rPr>
        <w:t xml:space="preserve">In de verdere invulling en uitwerking </w:t>
      </w:r>
      <w:r w:rsidR="00351917">
        <w:rPr>
          <w:rFonts w:cs="Arial"/>
          <w:sz w:val="19"/>
          <w:szCs w:val="19"/>
        </w:rPr>
        <w:t xml:space="preserve">worden </w:t>
      </w:r>
      <w:r w:rsidRPr="00351917">
        <w:rPr>
          <w:rFonts w:cs="Arial"/>
          <w:sz w:val="19"/>
          <w:szCs w:val="19"/>
        </w:rPr>
        <w:t xml:space="preserve">regio-specifieke ontwikkelingen meegenomen. </w:t>
      </w:r>
    </w:p>
    <w:p w14:paraId="3A216F88" w14:textId="77777777" w:rsidR="001A4DC1" w:rsidRPr="00351917" w:rsidRDefault="001A4DC1" w:rsidP="001A4DC1">
      <w:pPr>
        <w:contextualSpacing/>
        <w:rPr>
          <w:rFonts w:cs="Arial"/>
          <w:sz w:val="19"/>
          <w:szCs w:val="19"/>
        </w:rPr>
      </w:pPr>
    </w:p>
    <w:p w14:paraId="2FC07E10" w14:textId="564D50C1" w:rsidR="001A4DC1" w:rsidRPr="00351917" w:rsidRDefault="001A4DC1" w:rsidP="001A4DC1">
      <w:pPr>
        <w:contextualSpacing/>
        <w:rPr>
          <w:rFonts w:cs="Arial"/>
          <w:sz w:val="19"/>
          <w:szCs w:val="19"/>
        </w:rPr>
      </w:pPr>
      <w:r w:rsidRPr="00351917">
        <w:rPr>
          <w:rFonts w:cs="Arial"/>
          <w:b/>
          <w:bCs/>
          <w:sz w:val="19"/>
          <w:szCs w:val="19"/>
        </w:rPr>
        <w:t xml:space="preserve">Extra ondersteuning regio / SWV </w:t>
      </w:r>
    </w:p>
    <w:p w14:paraId="06B0F47F" w14:textId="68751530" w:rsidR="001A4DC1" w:rsidRPr="00351917" w:rsidRDefault="001A4DC1" w:rsidP="00351917">
      <w:pPr>
        <w:pStyle w:val="Lijstalinea"/>
        <w:numPr>
          <w:ilvl w:val="0"/>
          <w:numId w:val="3"/>
        </w:numPr>
        <w:rPr>
          <w:rFonts w:cs="Arial"/>
          <w:sz w:val="19"/>
          <w:szCs w:val="19"/>
        </w:rPr>
      </w:pPr>
      <w:r w:rsidRPr="00351917">
        <w:rPr>
          <w:rFonts w:cs="Arial"/>
          <w:sz w:val="19"/>
          <w:szCs w:val="19"/>
        </w:rPr>
        <w:t xml:space="preserve">Realiseren van twee locaties in het SWV waar meerdere dagdelen dan wel voltijd HB onderwijs gegeven wordt. Deze voorzieningen worden ingericht i.v.m. onvoldoende dekkend continuüm op SWV niveau. Het gaat dan om begaafde leerlingen, </w:t>
      </w:r>
      <w:r w:rsidR="00A842FD" w:rsidRPr="00351917">
        <w:rPr>
          <w:rFonts w:cs="Arial"/>
          <w:sz w:val="19"/>
          <w:szCs w:val="19"/>
        </w:rPr>
        <w:t>bij wie sprake is van een meer complexe hulpvraag en behoefte aan meer intensieve begeleiding en meer gespecialiseerde ondersteuning</w:t>
      </w:r>
      <w:r w:rsidRPr="00351917">
        <w:rPr>
          <w:rFonts w:cs="Arial"/>
          <w:sz w:val="19"/>
          <w:szCs w:val="19"/>
        </w:rPr>
        <w:t xml:space="preserve">. </w:t>
      </w:r>
      <w:r w:rsidR="00351917">
        <w:rPr>
          <w:rFonts w:cs="Arial"/>
          <w:sz w:val="19"/>
          <w:szCs w:val="19"/>
        </w:rPr>
        <w:br/>
      </w:r>
      <w:r w:rsidRPr="00351917">
        <w:rPr>
          <w:rFonts w:cs="Arial"/>
          <w:sz w:val="19"/>
          <w:szCs w:val="19"/>
        </w:rPr>
        <w:lastRenderedPageBreak/>
        <w:t xml:space="preserve">Doel is dat deze voorzieningen een tijdelijk karakter hebben en dat als het niveau van de basisondersteuning verhoogd wordt, dit mogelijk overbodig is. </w:t>
      </w:r>
    </w:p>
    <w:p w14:paraId="1D9A8F09" w14:textId="237D4522" w:rsidR="001A4DC1" w:rsidRPr="00351917" w:rsidRDefault="001A4DC1" w:rsidP="00351917">
      <w:pPr>
        <w:pStyle w:val="Lijstalinea"/>
        <w:rPr>
          <w:rFonts w:cs="Arial"/>
          <w:sz w:val="19"/>
          <w:szCs w:val="19"/>
        </w:rPr>
      </w:pPr>
      <w:r w:rsidRPr="00351917">
        <w:rPr>
          <w:rFonts w:cs="Arial"/>
          <w:sz w:val="19"/>
          <w:szCs w:val="19"/>
        </w:rPr>
        <w:t>Deelname aan meerdere dagdelen</w:t>
      </w:r>
      <w:r w:rsidR="00A842FD" w:rsidRPr="00351917">
        <w:rPr>
          <w:rFonts w:cs="Arial"/>
          <w:sz w:val="19"/>
          <w:szCs w:val="19"/>
        </w:rPr>
        <w:t xml:space="preserve"> of een voltijds begaafden</w:t>
      </w:r>
      <w:r w:rsidRPr="00351917">
        <w:rPr>
          <w:rFonts w:cs="Arial"/>
          <w:sz w:val="19"/>
          <w:szCs w:val="19"/>
        </w:rPr>
        <w:t xml:space="preserve">voorziening loopt via de ondersteuningsstructuur in de deelregio (IB, ouders, leerkracht en schoolcontactpersoon/ orthopedagoog). </w:t>
      </w:r>
    </w:p>
    <w:p w14:paraId="4D6E116E" w14:textId="4483F684" w:rsidR="001A4DC1" w:rsidRPr="00351917" w:rsidRDefault="001A4DC1" w:rsidP="00351917">
      <w:pPr>
        <w:pStyle w:val="Lijstalinea"/>
        <w:numPr>
          <w:ilvl w:val="0"/>
          <w:numId w:val="3"/>
        </w:numPr>
        <w:rPr>
          <w:rFonts w:cs="Arial"/>
          <w:sz w:val="19"/>
          <w:szCs w:val="19"/>
        </w:rPr>
      </w:pPr>
      <w:r w:rsidRPr="00351917">
        <w:rPr>
          <w:rFonts w:cs="Arial"/>
          <w:sz w:val="19"/>
          <w:szCs w:val="19"/>
        </w:rPr>
        <w:t xml:space="preserve">Voorzieningen zijn toegankelijk voor alle leerlingen uit de regio/SWV. </w:t>
      </w:r>
    </w:p>
    <w:p w14:paraId="129F758A" w14:textId="77777777" w:rsidR="001A4DC1" w:rsidRPr="00351917" w:rsidRDefault="001A4DC1" w:rsidP="001A4DC1">
      <w:pPr>
        <w:contextualSpacing/>
        <w:rPr>
          <w:rFonts w:cs="Arial"/>
          <w:sz w:val="19"/>
          <w:szCs w:val="19"/>
        </w:rPr>
      </w:pPr>
    </w:p>
    <w:p w14:paraId="0A6CFB0A" w14:textId="77777777" w:rsidR="001A4DC1" w:rsidRPr="00351917" w:rsidRDefault="001A4DC1" w:rsidP="001A4DC1">
      <w:pPr>
        <w:contextualSpacing/>
        <w:rPr>
          <w:rFonts w:cs="Arial"/>
          <w:sz w:val="19"/>
          <w:szCs w:val="19"/>
        </w:rPr>
      </w:pPr>
      <w:r w:rsidRPr="00351917">
        <w:rPr>
          <w:rFonts w:cs="Arial"/>
          <w:b/>
          <w:bCs/>
          <w:sz w:val="19"/>
          <w:szCs w:val="19"/>
        </w:rPr>
        <w:t xml:space="preserve">SWV PassendWijs </w:t>
      </w:r>
    </w:p>
    <w:p w14:paraId="11E76230" w14:textId="158019C9" w:rsidR="001A4DC1" w:rsidRPr="00351917" w:rsidRDefault="001A4DC1" w:rsidP="00351917">
      <w:pPr>
        <w:pStyle w:val="Lijstalinea"/>
        <w:numPr>
          <w:ilvl w:val="0"/>
          <w:numId w:val="3"/>
        </w:numPr>
        <w:rPr>
          <w:rFonts w:cs="Arial"/>
          <w:sz w:val="19"/>
          <w:szCs w:val="19"/>
        </w:rPr>
      </w:pPr>
      <w:r w:rsidRPr="00351917">
        <w:rPr>
          <w:rFonts w:cs="Arial"/>
          <w:sz w:val="19"/>
          <w:szCs w:val="19"/>
        </w:rPr>
        <w:t xml:space="preserve">Continueren van interventies en arrangementen door HB specialisten van PassendWijs. </w:t>
      </w:r>
    </w:p>
    <w:p w14:paraId="74AE7DB6" w14:textId="52AEC31D" w:rsidR="001A4DC1" w:rsidRPr="00351917" w:rsidRDefault="001A4DC1" w:rsidP="00351917">
      <w:pPr>
        <w:pStyle w:val="Lijstalinea"/>
        <w:numPr>
          <w:ilvl w:val="0"/>
          <w:numId w:val="3"/>
        </w:numPr>
        <w:rPr>
          <w:rFonts w:cs="Arial"/>
          <w:sz w:val="19"/>
          <w:szCs w:val="19"/>
        </w:rPr>
      </w:pPr>
      <w:r w:rsidRPr="00351917">
        <w:rPr>
          <w:rFonts w:cs="Arial"/>
          <w:sz w:val="19"/>
          <w:szCs w:val="19"/>
        </w:rPr>
        <w:t xml:space="preserve">Inrichting/aansturing van de lerende netwerken in de regio. </w:t>
      </w:r>
    </w:p>
    <w:p w14:paraId="6519AABF" w14:textId="4A98602F" w:rsidR="001A4DC1" w:rsidRPr="00351917" w:rsidRDefault="001A4DC1" w:rsidP="00351917">
      <w:pPr>
        <w:pStyle w:val="Lijstalinea"/>
        <w:numPr>
          <w:ilvl w:val="0"/>
          <w:numId w:val="3"/>
        </w:numPr>
        <w:rPr>
          <w:rFonts w:cs="Arial"/>
          <w:sz w:val="19"/>
          <w:szCs w:val="19"/>
        </w:rPr>
      </w:pPr>
      <w:r w:rsidRPr="00351917">
        <w:rPr>
          <w:rFonts w:cs="Arial"/>
          <w:sz w:val="19"/>
          <w:szCs w:val="19"/>
        </w:rPr>
        <w:t xml:space="preserve">School, ouders, schoolcontactpersonen/orthopedagogen in de ondersteuningsstructuur in de regio en evt. HB specialist uit het ondersteuningsteam komen tot een gezamenlijk onderbouwd besluit of een kind gezien zijn onderwijsbehoefte aangewezen is op meerdere dagdelen begaafdenonderwijs/HB voltijd. </w:t>
      </w:r>
    </w:p>
    <w:p w14:paraId="3B5818EB" w14:textId="77777777" w:rsidR="001A4DC1" w:rsidRPr="00351917" w:rsidRDefault="001A4DC1" w:rsidP="001A4DC1">
      <w:pPr>
        <w:contextualSpacing/>
        <w:rPr>
          <w:rFonts w:cs="Arial"/>
          <w:sz w:val="19"/>
          <w:szCs w:val="19"/>
        </w:rPr>
      </w:pPr>
    </w:p>
    <w:p w14:paraId="17D1FD6D" w14:textId="77777777" w:rsidR="00A842FD" w:rsidRPr="00351917" w:rsidRDefault="00A842FD" w:rsidP="001A4DC1">
      <w:pPr>
        <w:contextualSpacing/>
        <w:rPr>
          <w:rFonts w:cs="Arial"/>
          <w:sz w:val="19"/>
          <w:szCs w:val="19"/>
        </w:rPr>
      </w:pPr>
    </w:p>
    <w:p w14:paraId="6DF3EA6E" w14:textId="4F3473F2" w:rsidR="00A842FD" w:rsidRPr="00351917" w:rsidRDefault="00A842FD" w:rsidP="001A4DC1">
      <w:pPr>
        <w:contextualSpacing/>
        <w:rPr>
          <w:rFonts w:cs="Arial"/>
          <w:b/>
          <w:sz w:val="22"/>
        </w:rPr>
      </w:pPr>
      <w:r w:rsidRPr="00351917">
        <w:rPr>
          <w:rFonts w:cs="Arial"/>
          <w:b/>
          <w:sz w:val="22"/>
        </w:rPr>
        <w:t>2.</w:t>
      </w:r>
      <w:r w:rsidRPr="00351917">
        <w:rPr>
          <w:rFonts w:cs="Arial"/>
          <w:b/>
          <w:sz w:val="22"/>
        </w:rPr>
        <w:tab/>
        <w:t>Voortgezet onderwijs</w:t>
      </w:r>
    </w:p>
    <w:p w14:paraId="417561C4" w14:textId="7AEF8C58" w:rsidR="00A842FD" w:rsidRPr="00351917" w:rsidRDefault="00A842FD" w:rsidP="001A4DC1">
      <w:pPr>
        <w:contextualSpacing/>
        <w:rPr>
          <w:rFonts w:cs="Arial"/>
          <w:sz w:val="19"/>
          <w:szCs w:val="19"/>
        </w:rPr>
      </w:pPr>
      <w:r w:rsidRPr="00351917">
        <w:rPr>
          <w:rFonts w:cs="Arial"/>
          <w:sz w:val="19"/>
          <w:szCs w:val="19"/>
        </w:rPr>
        <w:t>Het Samenwerkingsverband V(S)O 25.06 heeft een subsidieaanvraag in het kader van de subisidieregeling begaafde leerlingen ingediend ten behoeve van de leerlingen van OPUS, de (hoog)begaafdenafdeling van het Lorentz Lyceum.</w:t>
      </w:r>
    </w:p>
    <w:p w14:paraId="51245C23" w14:textId="56946F38" w:rsidR="00A842FD" w:rsidRPr="00351917" w:rsidRDefault="00A842FD" w:rsidP="00000C34">
      <w:pPr>
        <w:contextualSpacing/>
        <w:rPr>
          <w:rFonts w:cs="Arial"/>
          <w:sz w:val="19"/>
          <w:szCs w:val="19"/>
        </w:rPr>
      </w:pPr>
      <w:r w:rsidRPr="00351917">
        <w:rPr>
          <w:rFonts w:cs="Arial"/>
          <w:sz w:val="19"/>
          <w:szCs w:val="19"/>
        </w:rPr>
        <w:t xml:space="preserve">OPUS is een driejarige onderbouwopleiding voor (hoog)begaafde kinderen uit de regio die extra ondersteuning nodig hebben. </w:t>
      </w:r>
      <w:r w:rsidR="00000C34" w:rsidRPr="00351917">
        <w:rPr>
          <w:rFonts w:cs="Arial"/>
          <w:sz w:val="19"/>
          <w:szCs w:val="19"/>
        </w:rPr>
        <w:t>OPUS richt zich, naast de cognitieve uitdaging, ook expliciet op de sociale ontwikkeling van kinderen. Na deze drie jaar met extra begeleiding en aangepast onderwijs, stromen de leerlingen door naar het reguliere curriculum van het havo, vwo of gymnasium.</w:t>
      </w:r>
    </w:p>
    <w:p w14:paraId="177B9442" w14:textId="33AB7BA3" w:rsidR="00000C34" w:rsidRPr="00351917" w:rsidRDefault="00000C34" w:rsidP="00000C34">
      <w:pPr>
        <w:contextualSpacing/>
        <w:rPr>
          <w:rFonts w:cs="Arial"/>
          <w:sz w:val="19"/>
          <w:szCs w:val="19"/>
        </w:rPr>
      </w:pPr>
      <w:r w:rsidRPr="00351917">
        <w:rPr>
          <w:rFonts w:cs="Arial"/>
          <w:sz w:val="19"/>
          <w:szCs w:val="19"/>
        </w:rPr>
        <w:t>OPUS biedt - aan leerlingen vanaf 9 jaar die de lesstof van het basisonderwijs beheersen en met een IQ van 125 of hoger - een VWO-programma waarin op hoog tempo veel wordt behandeld, zodat er ook meer tijd is voor extra uitdagingen en extra curriculaire programma’s binnen en buiten de lessen. Tevens biedt OPUS extra hulp, onder meer in de vorm van een persoonlijke coach die helpt persoonlijke doelen te stellen en eigen talenten en eigenschappen te (her)kennen en te ontwikkelen of te controleren. Ook is er extra ondersteuning met expertise op het gebied van (hoog)begaafdheid. Deze faciliteiten zorgen voor een pedagogisch klimaat waarin specifiek deze leerlingen zich optimaal kunnen ontwikkelen, zowel intellectueel als op sociaal-emotioneel gebied.</w:t>
      </w:r>
    </w:p>
    <w:p w14:paraId="48FD7BD7" w14:textId="36B7BBDA" w:rsidR="00EF2AFF" w:rsidRPr="00351917" w:rsidRDefault="00000C34" w:rsidP="00000C34">
      <w:pPr>
        <w:contextualSpacing/>
        <w:rPr>
          <w:rFonts w:cs="Arial"/>
          <w:sz w:val="19"/>
          <w:szCs w:val="19"/>
        </w:rPr>
      </w:pPr>
      <w:r w:rsidRPr="00351917">
        <w:rPr>
          <w:rFonts w:cs="Arial"/>
          <w:sz w:val="19"/>
          <w:szCs w:val="19"/>
        </w:rPr>
        <w:t xml:space="preserve">Doel van OPUS is om door onderwijsaanbod en ondersteuning het voor (hoog)begaafde leerlingen met een ondersteuningsbehoefte mogelijk te maken om na drie jaar OPUS naar de reguliere bovenbouw van een school voor VO over te kunnen stappen en zo een succesvolle schoolcarrière mogelijk te maken. </w:t>
      </w:r>
    </w:p>
    <w:p w14:paraId="41AE79A7" w14:textId="77777777" w:rsidR="00EF2AFF" w:rsidRPr="00351917" w:rsidRDefault="00EF2AFF" w:rsidP="00000C34">
      <w:pPr>
        <w:contextualSpacing/>
        <w:rPr>
          <w:rFonts w:cs="Arial"/>
          <w:sz w:val="19"/>
          <w:szCs w:val="19"/>
        </w:rPr>
      </w:pPr>
    </w:p>
    <w:p w14:paraId="1F04528D" w14:textId="3F84C464" w:rsidR="00000C34" w:rsidRPr="00351917" w:rsidRDefault="00000C34" w:rsidP="00000C34">
      <w:pPr>
        <w:contextualSpacing/>
        <w:rPr>
          <w:rFonts w:cs="Arial"/>
          <w:sz w:val="19"/>
          <w:szCs w:val="19"/>
        </w:rPr>
      </w:pPr>
      <w:r w:rsidRPr="00351917">
        <w:rPr>
          <w:rFonts w:cs="Arial"/>
          <w:sz w:val="19"/>
          <w:szCs w:val="19"/>
        </w:rPr>
        <w:t>Daarbij vindt men twee zaken van belang:</w:t>
      </w:r>
    </w:p>
    <w:p w14:paraId="257F1A6E" w14:textId="089DF9A9" w:rsidR="00000C34" w:rsidRPr="00351917" w:rsidRDefault="00EF2AFF" w:rsidP="00000C34">
      <w:pPr>
        <w:contextualSpacing/>
        <w:rPr>
          <w:rFonts w:cs="Arial"/>
          <w:sz w:val="19"/>
          <w:szCs w:val="19"/>
        </w:rPr>
      </w:pPr>
      <w:r w:rsidRPr="00351917">
        <w:rPr>
          <w:rFonts w:cs="Arial"/>
          <w:sz w:val="19"/>
          <w:szCs w:val="19"/>
        </w:rPr>
        <w:t>1.</w:t>
      </w:r>
      <w:r w:rsidRPr="00351917">
        <w:rPr>
          <w:rFonts w:cs="Arial"/>
          <w:sz w:val="19"/>
          <w:szCs w:val="19"/>
        </w:rPr>
        <w:tab/>
        <w:t>D</w:t>
      </w:r>
      <w:r w:rsidR="00000C34" w:rsidRPr="00351917">
        <w:rPr>
          <w:rFonts w:cs="Arial"/>
          <w:sz w:val="19"/>
          <w:szCs w:val="19"/>
        </w:rPr>
        <w:t>e ondersteuningsbehoefte van de betrokken leerling kennen en passende begeleiding bieden;</w:t>
      </w:r>
    </w:p>
    <w:p w14:paraId="3001F982" w14:textId="525E310C" w:rsidR="00000C34" w:rsidRPr="00351917" w:rsidRDefault="00000C34" w:rsidP="00000C34">
      <w:pPr>
        <w:contextualSpacing/>
        <w:rPr>
          <w:rFonts w:cs="Arial"/>
          <w:sz w:val="19"/>
          <w:szCs w:val="19"/>
        </w:rPr>
      </w:pPr>
      <w:r w:rsidRPr="00351917">
        <w:rPr>
          <w:rFonts w:cs="Arial"/>
          <w:sz w:val="19"/>
          <w:szCs w:val="19"/>
        </w:rPr>
        <w:t>Deze ondersteuningsbehoefte ziet er per leerling anders uit. Naast het hogere IQ zijn veel leerlingen gediagnosticeerd met één of meerdere stoormissen, zoals dyslexie, dyscalculier, AD(H)D, ASS e.d.</w:t>
      </w:r>
    </w:p>
    <w:p w14:paraId="30767049" w14:textId="7D2FB507" w:rsidR="00EF2AFF" w:rsidRPr="00351917" w:rsidRDefault="00EF2AFF" w:rsidP="00EF2AFF">
      <w:pPr>
        <w:contextualSpacing/>
        <w:rPr>
          <w:rFonts w:cs="Arial"/>
          <w:sz w:val="19"/>
          <w:szCs w:val="19"/>
        </w:rPr>
      </w:pPr>
      <w:r w:rsidRPr="00351917">
        <w:rPr>
          <w:rFonts w:cs="Arial"/>
          <w:sz w:val="19"/>
          <w:szCs w:val="19"/>
        </w:rPr>
        <w:t>Van elke nieuwe leerling wordt tijdens de aanmeldingsprocedure vastgelegd welke ondersteuningsbehoefte ze hebben, welke doelen ze willen bereiken. Dit wordt vastgelegd in hun ontwikkelingsperspectiefplan (OPP).</w:t>
      </w:r>
    </w:p>
    <w:p w14:paraId="2A40D3AB" w14:textId="4CA1E36E" w:rsidR="00EF2AFF" w:rsidRPr="00351917" w:rsidRDefault="00EF2AFF" w:rsidP="00EF2AFF">
      <w:pPr>
        <w:contextualSpacing/>
        <w:rPr>
          <w:rFonts w:cs="Arial"/>
          <w:sz w:val="19"/>
          <w:szCs w:val="19"/>
        </w:rPr>
      </w:pPr>
      <w:r w:rsidRPr="00351917">
        <w:rPr>
          <w:rFonts w:cs="Arial"/>
          <w:sz w:val="19"/>
          <w:szCs w:val="19"/>
        </w:rPr>
        <w:t>OPUS beschikt over een gespecialiseerd ondersteuningsteam (1,0 fte) dat voorziet in extra hulp in de vorm van training, therapie en gesprekken met de leerlingen.</w:t>
      </w:r>
    </w:p>
    <w:p w14:paraId="1404FFFF" w14:textId="77777777" w:rsidR="00EF2AFF" w:rsidRPr="00351917" w:rsidRDefault="00EF2AFF" w:rsidP="00EF2AFF">
      <w:pPr>
        <w:contextualSpacing/>
        <w:rPr>
          <w:rFonts w:cs="Arial"/>
          <w:sz w:val="19"/>
          <w:szCs w:val="19"/>
        </w:rPr>
      </w:pPr>
    </w:p>
    <w:p w14:paraId="677AC738" w14:textId="772FF006" w:rsidR="00000C34" w:rsidRPr="00351917" w:rsidRDefault="00EF2AFF" w:rsidP="00000C34">
      <w:pPr>
        <w:contextualSpacing/>
        <w:rPr>
          <w:rFonts w:cs="Arial"/>
          <w:sz w:val="19"/>
          <w:szCs w:val="19"/>
        </w:rPr>
      </w:pPr>
      <w:r w:rsidRPr="00351917">
        <w:rPr>
          <w:rFonts w:cs="Arial"/>
          <w:sz w:val="19"/>
          <w:szCs w:val="19"/>
        </w:rPr>
        <w:lastRenderedPageBreak/>
        <w:t>2.</w:t>
      </w:r>
      <w:r w:rsidRPr="00351917">
        <w:rPr>
          <w:rFonts w:cs="Arial"/>
          <w:sz w:val="19"/>
          <w:szCs w:val="19"/>
        </w:rPr>
        <w:tab/>
        <w:t>H</w:t>
      </w:r>
      <w:r w:rsidR="00000C34" w:rsidRPr="00351917">
        <w:rPr>
          <w:rFonts w:cs="Arial"/>
          <w:sz w:val="19"/>
          <w:szCs w:val="19"/>
        </w:rPr>
        <w:t>et onderwijs aanpassen op de individuele, specifieke mogelijkheden van de leerling.</w:t>
      </w:r>
    </w:p>
    <w:p w14:paraId="241AD6B1" w14:textId="4C52AA55" w:rsidR="00000C34" w:rsidRDefault="00EF2AFF" w:rsidP="00000C34">
      <w:pPr>
        <w:contextualSpacing/>
        <w:rPr>
          <w:rFonts w:cs="Arial"/>
          <w:sz w:val="19"/>
          <w:szCs w:val="19"/>
        </w:rPr>
      </w:pPr>
      <w:r w:rsidRPr="00351917">
        <w:rPr>
          <w:rFonts w:cs="Arial"/>
          <w:sz w:val="19"/>
          <w:szCs w:val="19"/>
        </w:rPr>
        <w:t xml:space="preserve">In de praktijk blijkt dat de lessen toch te weinig aansluiten bij de onderwijsbehoefte van de leerlingen, zowel op individueel- als op klasniveau. Hierdoor lijkt het potentieel van deze leerlingen niet (optimaal) benut te worden en dreigen zij soms zelfs “af te haken”. Met inzet van de extra middelen van het Rijk wil OPUS, in samenwerking met andere PO- en VO-scholen in de regio die onderwijs bieden voor (hoog)begaafde leerlingen, het onderwijsaanbod door ontwikkelen en de vorm en didactiek beter laten aansluiten op de mogelijkheden van de (hoog)begaafde leerling met een ondersteuningsbehoefte. </w:t>
      </w:r>
    </w:p>
    <w:p w14:paraId="76865448" w14:textId="77777777" w:rsidR="00351917" w:rsidRDefault="00351917" w:rsidP="00000C34">
      <w:pPr>
        <w:contextualSpacing/>
        <w:rPr>
          <w:rFonts w:cs="Arial"/>
          <w:sz w:val="19"/>
          <w:szCs w:val="19"/>
        </w:rPr>
      </w:pPr>
    </w:p>
    <w:p w14:paraId="1A5C3A81" w14:textId="77777777" w:rsidR="00351917" w:rsidRDefault="00351917" w:rsidP="00000C34">
      <w:pPr>
        <w:contextualSpacing/>
        <w:rPr>
          <w:rFonts w:cs="Arial"/>
          <w:sz w:val="19"/>
          <w:szCs w:val="19"/>
        </w:rPr>
      </w:pPr>
    </w:p>
    <w:p w14:paraId="49EE21D3" w14:textId="380CCFCA" w:rsidR="00351917" w:rsidRPr="00351917" w:rsidRDefault="00351917" w:rsidP="00000C34">
      <w:pPr>
        <w:contextualSpacing/>
        <w:rPr>
          <w:rFonts w:cs="Arial"/>
          <w:b/>
          <w:sz w:val="22"/>
        </w:rPr>
      </w:pPr>
      <w:r w:rsidRPr="00351917">
        <w:rPr>
          <w:rFonts w:cs="Arial"/>
          <w:b/>
          <w:sz w:val="22"/>
        </w:rPr>
        <w:t>3.</w:t>
      </w:r>
      <w:r w:rsidRPr="00351917">
        <w:rPr>
          <w:rFonts w:cs="Arial"/>
          <w:b/>
          <w:sz w:val="22"/>
        </w:rPr>
        <w:tab/>
        <w:t>Samenwerking gemeenten en samenwerkingsverbanden</w:t>
      </w:r>
      <w:r>
        <w:rPr>
          <w:rFonts w:cs="Arial"/>
          <w:b/>
          <w:sz w:val="22"/>
        </w:rPr>
        <w:t xml:space="preserve"> passend onderwijs</w:t>
      </w:r>
    </w:p>
    <w:p w14:paraId="65607A2D" w14:textId="0C8CAB9C" w:rsidR="00351917" w:rsidRPr="00AB29DA" w:rsidRDefault="00351917" w:rsidP="00351917">
      <w:pPr>
        <w:rPr>
          <w:rFonts w:cs="Arial"/>
          <w:sz w:val="19"/>
          <w:szCs w:val="19"/>
        </w:rPr>
      </w:pPr>
      <w:r w:rsidRPr="00AB29DA">
        <w:rPr>
          <w:rFonts w:cs="Arial"/>
          <w:sz w:val="19"/>
          <w:szCs w:val="19"/>
        </w:rPr>
        <w:t xml:space="preserve">Ieder kind en elke jongere heeft het recht om te leren en zich optimaal te kunnen ontwikkelen. Sinds de invoering van de Jeugdwet (2015) en de stelselwijziging passend onderwijs (2014) staan gemeenten en het onderwijs samen voor de taak om voor jeugdigen die een steuntje in de rug nodig hebben een sluitend aanbod aan onderwijsondersteuning en hulp </w:t>
      </w:r>
      <w:r>
        <w:rPr>
          <w:rFonts w:cs="Arial"/>
          <w:sz w:val="19"/>
          <w:szCs w:val="19"/>
        </w:rPr>
        <w:t xml:space="preserve">(op maat) </w:t>
      </w:r>
      <w:r w:rsidRPr="00AB29DA">
        <w:rPr>
          <w:rFonts w:cs="Arial"/>
          <w:sz w:val="19"/>
          <w:szCs w:val="19"/>
        </w:rPr>
        <w:t xml:space="preserve">te realiseren. </w:t>
      </w:r>
    </w:p>
    <w:p w14:paraId="4F947172" w14:textId="2C8AFFFC" w:rsidR="00351917" w:rsidRDefault="00351917" w:rsidP="00000C34">
      <w:pPr>
        <w:contextualSpacing/>
        <w:rPr>
          <w:rFonts w:cs="Arial"/>
          <w:sz w:val="19"/>
          <w:szCs w:val="19"/>
        </w:rPr>
      </w:pPr>
      <w:r>
        <w:rPr>
          <w:rFonts w:cs="Arial"/>
          <w:sz w:val="19"/>
          <w:szCs w:val="19"/>
        </w:rPr>
        <w:t xml:space="preserve">In februari van dit jaar ondertekenden de zes gemeenten met de beide de samenwerkingsverbanden passend onderwijs in de regio een </w:t>
      </w:r>
      <w:r w:rsidRPr="00AB29DA">
        <w:rPr>
          <w:rFonts w:cs="Arial"/>
          <w:i/>
          <w:sz w:val="19"/>
          <w:szCs w:val="19"/>
        </w:rPr>
        <w:t>Samenwerkingsconvenant Regionale sluitende aanpak Passend Onderwijs - Jeugdhulp - Jeugdgezondheidszorg</w:t>
      </w:r>
      <w:r>
        <w:rPr>
          <w:rFonts w:cs="Arial"/>
          <w:i/>
          <w:sz w:val="19"/>
          <w:szCs w:val="19"/>
        </w:rPr>
        <w:t xml:space="preserve">. </w:t>
      </w:r>
      <w:r w:rsidRPr="00AB29DA">
        <w:rPr>
          <w:rFonts w:cs="Arial"/>
          <w:sz w:val="19"/>
          <w:szCs w:val="19"/>
        </w:rPr>
        <w:t xml:space="preserve">Met dit convenant creëren partners een gemeenschappelijke basis voor het organiseren van hulp en ondersteuning voor kinderen en jongeren die in de knel (dreigen te) komen. </w:t>
      </w:r>
      <w:r>
        <w:rPr>
          <w:rFonts w:cs="Arial"/>
          <w:sz w:val="19"/>
          <w:szCs w:val="19"/>
        </w:rPr>
        <w:t xml:space="preserve">Zij bekrachtigen de afspraak </w:t>
      </w:r>
      <w:r w:rsidRPr="00AB29DA">
        <w:rPr>
          <w:rFonts w:cs="Arial"/>
          <w:sz w:val="19"/>
          <w:szCs w:val="19"/>
        </w:rPr>
        <w:t xml:space="preserve">dat ieder zijn of haar verantwoordelijkheid heeft en zal nemen om er gezamenlijk voor te zorgen dat jeugdigen </w:t>
      </w:r>
      <w:r>
        <w:rPr>
          <w:rFonts w:cs="Arial"/>
          <w:sz w:val="19"/>
          <w:szCs w:val="19"/>
        </w:rPr>
        <w:t xml:space="preserve">- met een sluitende aanpak binnen de keten van samenwerkingspartners - </w:t>
      </w:r>
      <w:r w:rsidRPr="00AB29DA">
        <w:rPr>
          <w:rFonts w:cs="Arial"/>
          <w:sz w:val="19"/>
          <w:szCs w:val="19"/>
        </w:rPr>
        <w:t>de hulp en ondersteuning krijgen die nodig is.</w:t>
      </w:r>
    </w:p>
    <w:p w14:paraId="484A7CB5" w14:textId="77777777" w:rsidR="00351917" w:rsidRDefault="00351917" w:rsidP="00000C34">
      <w:pPr>
        <w:contextualSpacing/>
        <w:rPr>
          <w:rFonts w:cs="Arial"/>
          <w:sz w:val="19"/>
          <w:szCs w:val="19"/>
        </w:rPr>
      </w:pPr>
    </w:p>
    <w:p w14:paraId="6DD1A4E3" w14:textId="304DB30B" w:rsidR="00351917" w:rsidRDefault="00351917" w:rsidP="00000C34">
      <w:pPr>
        <w:contextualSpacing/>
        <w:rPr>
          <w:rFonts w:cs="Arial"/>
          <w:sz w:val="19"/>
          <w:szCs w:val="19"/>
        </w:rPr>
      </w:pPr>
      <w:r>
        <w:rPr>
          <w:rFonts w:cs="Arial"/>
          <w:sz w:val="19"/>
          <w:szCs w:val="19"/>
        </w:rPr>
        <w:t>Bij die sluitende aanpak draait het om de volgende vijf uitgangspunten:</w:t>
      </w:r>
    </w:p>
    <w:p w14:paraId="6D094BF4" w14:textId="77777777" w:rsidR="00351917" w:rsidRPr="00351917" w:rsidRDefault="00351917" w:rsidP="00351917">
      <w:pPr>
        <w:contextualSpacing/>
        <w:rPr>
          <w:rFonts w:cs="Arial"/>
          <w:sz w:val="19"/>
          <w:szCs w:val="19"/>
        </w:rPr>
      </w:pPr>
      <w:r w:rsidRPr="00351917">
        <w:rPr>
          <w:rFonts w:cs="Arial"/>
          <w:sz w:val="19"/>
          <w:szCs w:val="19"/>
        </w:rPr>
        <w:t>#1 - De ononderbroken ontwikkeling van het kind staat centraal</w:t>
      </w:r>
    </w:p>
    <w:p w14:paraId="18B3CFB2" w14:textId="77777777" w:rsidR="00351917" w:rsidRPr="00351917" w:rsidRDefault="00351917" w:rsidP="00351917">
      <w:pPr>
        <w:contextualSpacing/>
        <w:rPr>
          <w:rFonts w:cs="Arial"/>
          <w:sz w:val="19"/>
          <w:szCs w:val="19"/>
        </w:rPr>
      </w:pPr>
      <w:r w:rsidRPr="00351917">
        <w:rPr>
          <w:rFonts w:cs="Arial"/>
          <w:sz w:val="19"/>
          <w:szCs w:val="19"/>
        </w:rPr>
        <w:t>#2 - Inclusief, passend en zo nabij mogelijk</w:t>
      </w:r>
    </w:p>
    <w:p w14:paraId="4533A379" w14:textId="77777777" w:rsidR="00351917" w:rsidRPr="00351917" w:rsidRDefault="00351917" w:rsidP="00351917">
      <w:pPr>
        <w:contextualSpacing/>
        <w:rPr>
          <w:rFonts w:cs="Arial"/>
          <w:sz w:val="19"/>
          <w:szCs w:val="19"/>
        </w:rPr>
      </w:pPr>
      <w:r w:rsidRPr="00351917">
        <w:rPr>
          <w:rFonts w:cs="Arial"/>
          <w:sz w:val="19"/>
          <w:szCs w:val="19"/>
        </w:rPr>
        <w:t>#3 - Samenwerken aan een integraal aanbod</w:t>
      </w:r>
    </w:p>
    <w:p w14:paraId="6913418E" w14:textId="77777777" w:rsidR="00351917" w:rsidRPr="00351917" w:rsidRDefault="00351917" w:rsidP="00351917">
      <w:pPr>
        <w:contextualSpacing/>
        <w:rPr>
          <w:rFonts w:cs="Arial"/>
          <w:sz w:val="19"/>
          <w:szCs w:val="19"/>
        </w:rPr>
      </w:pPr>
      <w:r w:rsidRPr="00351917">
        <w:rPr>
          <w:rFonts w:cs="Arial"/>
          <w:sz w:val="19"/>
          <w:szCs w:val="19"/>
        </w:rPr>
        <w:t>#4 - Partnerschap en regievoering</w:t>
      </w:r>
    </w:p>
    <w:p w14:paraId="111D68E4" w14:textId="22C6D44E" w:rsidR="00351917" w:rsidRDefault="00351917" w:rsidP="00351917">
      <w:pPr>
        <w:contextualSpacing/>
        <w:rPr>
          <w:rFonts w:cs="Arial"/>
          <w:sz w:val="19"/>
          <w:szCs w:val="19"/>
        </w:rPr>
      </w:pPr>
      <w:r w:rsidRPr="00351917">
        <w:rPr>
          <w:rFonts w:cs="Arial"/>
          <w:sz w:val="19"/>
          <w:szCs w:val="19"/>
        </w:rPr>
        <w:t>#5 - Samen steeds beter worden</w:t>
      </w:r>
    </w:p>
    <w:p w14:paraId="7A55FA44" w14:textId="77777777" w:rsidR="00723EEB" w:rsidRDefault="00723EEB" w:rsidP="00351917">
      <w:pPr>
        <w:contextualSpacing/>
        <w:rPr>
          <w:rFonts w:cs="Arial"/>
          <w:sz w:val="19"/>
          <w:szCs w:val="19"/>
        </w:rPr>
      </w:pPr>
    </w:p>
    <w:p w14:paraId="4F6EEF6C" w14:textId="38CACF6C" w:rsidR="00723EEB" w:rsidRPr="00351917" w:rsidRDefault="00723EEB" w:rsidP="00351917">
      <w:pPr>
        <w:contextualSpacing/>
        <w:rPr>
          <w:rFonts w:cs="Arial"/>
          <w:sz w:val="19"/>
          <w:szCs w:val="19"/>
        </w:rPr>
      </w:pPr>
      <w:r>
        <w:rPr>
          <w:rFonts w:cs="Arial"/>
          <w:sz w:val="19"/>
          <w:szCs w:val="19"/>
        </w:rPr>
        <w:t>Een ambtelijke werkgroep van partijen betrokken bij het convenant werkt momenteel aan de uitwerking ervan tot een uitvoeringsagenda die de komende jaren richting moet geven aan werkafspraken die helpen de doelen van het convenant dichterbij te brengen.</w:t>
      </w:r>
    </w:p>
    <w:sectPr w:rsidR="00723EEB" w:rsidRPr="00351917" w:rsidSect="006D144C">
      <w:headerReference w:type="default" r:id="rId8"/>
      <w:footerReference w:type="default" r:id="rId9"/>
      <w:headerReference w:type="first" r:id="rId10"/>
      <w:footerReference w:type="first" r:id="rId11"/>
      <w:pgSz w:w="11906" w:h="16838" w:code="9"/>
      <w:pgMar w:top="1446" w:right="1247" w:bottom="2325" w:left="1361" w:header="284"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A6EBA" w14:textId="77777777" w:rsidR="00D45D56" w:rsidRDefault="00636F6B">
      <w:pPr>
        <w:spacing w:line="240" w:lineRule="auto"/>
      </w:pPr>
      <w:r>
        <w:separator/>
      </w:r>
    </w:p>
  </w:endnote>
  <w:endnote w:type="continuationSeparator" w:id="0">
    <w:p w14:paraId="50DA6EBC" w14:textId="77777777" w:rsidR="00D45D56" w:rsidRDefault="00636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A6EAD" w14:textId="77777777" w:rsidR="002D2B6B" w:rsidRDefault="00636F6B">
    <w:pPr>
      <w:pStyle w:val="Voettekst"/>
    </w:pPr>
    <w:r>
      <w:tab/>
      <w:t>Beleid en Regie - Samenlevingszaken sport en opvoeding</w:t>
    </w:r>
    <w:r>
      <w:tab/>
    </w:r>
    <w:r>
      <w:fldChar w:fldCharType="begin"/>
    </w:r>
    <w:r>
      <w:instrText>PAGE   \* MERGEFORMAT</w:instrText>
    </w:r>
    <w:r>
      <w:fldChar w:fldCharType="separate"/>
    </w:r>
    <w:r w:rsidR="003B1181">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A6EB5" w14:textId="77777777" w:rsidR="00E64004" w:rsidRDefault="00636F6B">
    <w:pPr>
      <w:pStyle w:val="Voettekst"/>
    </w:pPr>
    <w:r>
      <w:tab/>
      <w:t>Beleid en Regie - Samenlevingszaken sport en opvoeding</w:t>
    </w:r>
    <w:r>
      <w:tab/>
    </w:r>
    <w:r>
      <w:fldChar w:fldCharType="begin"/>
    </w:r>
    <w:r>
      <w:instrText>PAGE   \* MERGEFORMAT</w:instrText>
    </w:r>
    <w:r>
      <w:fldChar w:fldCharType="separate"/>
    </w:r>
    <w:r w:rsidR="003B118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A6EB6" w14:textId="77777777" w:rsidR="00D45D56" w:rsidRDefault="00636F6B">
      <w:pPr>
        <w:spacing w:line="240" w:lineRule="auto"/>
      </w:pPr>
      <w:r>
        <w:separator/>
      </w:r>
    </w:p>
  </w:footnote>
  <w:footnote w:type="continuationSeparator" w:id="0">
    <w:p w14:paraId="50DA6EB8" w14:textId="77777777" w:rsidR="00D45D56" w:rsidRDefault="00636F6B">
      <w:pPr>
        <w:spacing w:line="240" w:lineRule="auto"/>
      </w:pPr>
      <w:r>
        <w:continuationSeparator/>
      </w:r>
    </w:p>
  </w:footnote>
  <w:footnote w:id="1">
    <w:p w14:paraId="1ED58FFB" w14:textId="288B63FC" w:rsidR="00FF016A" w:rsidRDefault="00FF016A">
      <w:pPr>
        <w:pStyle w:val="Voetnoottekst"/>
      </w:pPr>
      <w:r>
        <w:rPr>
          <w:rStyle w:val="Voetnootmarkering"/>
        </w:rPr>
        <w:footnoteRef/>
      </w:r>
      <w:r>
        <w:t xml:space="preserve">  </w:t>
      </w:r>
      <w:r w:rsidRPr="00FF016A">
        <w:rPr>
          <w:sz w:val="19"/>
          <w:szCs w:val="19"/>
        </w:rPr>
        <w:t>Brief van onderwijsminister Slob aan de Tweede Kamer van 14 maart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A6EAB" w14:textId="77777777" w:rsidR="00EB7555" w:rsidRDefault="003B1181" w:rsidP="00EB7555">
    <w:pPr>
      <w:rPr>
        <w:sz w:val="18"/>
        <w:szCs w:val="18"/>
      </w:rPr>
    </w:pPr>
  </w:p>
  <w:p w14:paraId="50DA6EAC" w14:textId="77777777" w:rsidR="00EB7555" w:rsidRDefault="003B1181" w:rsidP="003A6E40">
    <w:pP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10122" w:type="dxa"/>
      <w:tblBorders>
        <w:top w:val="nil"/>
        <w:left w:val="nil"/>
        <w:bottom w:val="nil"/>
        <w:right w:val="nil"/>
        <w:insideH w:val="nil"/>
        <w:insideV w:val="nil"/>
      </w:tblBorders>
      <w:tblLook w:val="04A0" w:firstRow="1" w:lastRow="0" w:firstColumn="1" w:lastColumn="0" w:noHBand="0" w:noVBand="1"/>
    </w:tblPr>
    <w:tblGrid>
      <w:gridCol w:w="5061"/>
      <w:gridCol w:w="5061"/>
    </w:tblGrid>
    <w:tr w:rsidR="00CD1680" w14:paraId="50DA6EB0" w14:textId="77777777" w:rsidTr="00B668D3">
      <w:trPr>
        <w:trHeight w:val="70"/>
      </w:trPr>
      <w:tc>
        <w:tcPr>
          <w:tcW w:w="5061" w:type="dxa"/>
          <w:vAlign w:val="bottom"/>
        </w:tcPr>
        <w:p w14:paraId="50DA6EAE" w14:textId="77777777" w:rsidR="00C2474B" w:rsidRPr="00C610BC" w:rsidRDefault="003B1181" w:rsidP="00C2474B">
          <w:pPr>
            <w:pStyle w:val="Koptekst"/>
            <w:rPr>
              <w:b/>
              <w:sz w:val="4"/>
              <w:szCs w:val="40"/>
            </w:rPr>
          </w:pPr>
        </w:p>
      </w:tc>
      <w:tc>
        <w:tcPr>
          <w:tcW w:w="5061" w:type="dxa"/>
          <w:tcMar>
            <w:left w:w="0" w:type="dxa"/>
            <w:right w:w="0" w:type="dxa"/>
          </w:tcMar>
          <w:vAlign w:val="bottom"/>
        </w:tcPr>
        <w:p w14:paraId="50DA6EAF" w14:textId="77777777" w:rsidR="00C2474B" w:rsidRDefault="003B1181" w:rsidP="00C2474B">
          <w:pPr>
            <w:pStyle w:val="Koptekst"/>
            <w:jc w:val="right"/>
            <w:rPr>
              <w:noProof/>
              <w:sz w:val="18"/>
              <w:szCs w:val="18"/>
              <w:lang w:eastAsia="nl-NL"/>
            </w:rPr>
          </w:pPr>
        </w:p>
      </w:tc>
    </w:tr>
    <w:tr w:rsidR="00CD1680" w14:paraId="50DA6EB3" w14:textId="77777777" w:rsidTr="00390089">
      <w:trPr>
        <w:trHeight w:val="854"/>
      </w:trPr>
      <w:tc>
        <w:tcPr>
          <w:tcW w:w="5061" w:type="dxa"/>
          <w:tcMar>
            <w:left w:w="0" w:type="dxa"/>
          </w:tcMar>
          <w:vAlign w:val="bottom"/>
        </w:tcPr>
        <w:p w14:paraId="50DA6EB1" w14:textId="77777777" w:rsidR="00C2474B" w:rsidRPr="00B631E5" w:rsidRDefault="00636F6B" w:rsidP="00C2474B">
          <w:pPr>
            <w:pStyle w:val="Koptekst"/>
            <w:rPr>
              <w:b/>
            </w:rPr>
          </w:pPr>
          <w:r>
            <w:rPr>
              <w:b/>
              <w:sz w:val="40"/>
            </w:rPr>
            <w:t>Memo</w:t>
          </w:r>
        </w:p>
      </w:tc>
      <w:tc>
        <w:tcPr>
          <w:tcW w:w="5061" w:type="dxa"/>
          <w:tcMar>
            <w:left w:w="0" w:type="dxa"/>
            <w:right w:w="0" w:type="dxa"/>
          </w:tcMar>
          <w:vAlign w:val="bottom"/>
        </w:tcPr>
        <w:p w14:paraId="50DA6EB2" w14:textId="77777777" w:rsidR="00C2474B" w:rsidRPr="00237122" w:rsidRDefault="00636F6B" w:rsidP="00C2474B">
          <w:pPr>
            <w:pStyle w:val="Koptekst"/>
            <w:jc w:val="right"/>
            <w:rPr>
              <w:b/>
              <w:sz w:val="40"/>
              <w:szCs w:val="40"/>
            </w:rPr>
          </w:pPr>
          <w:r>
            <w:rPr>
              <w:noProof/>
              <w:sz w:val="18"/>
              <w:szCs w:val="18"/>
              <w:lang w:eastAsia="nl-NL"/>
            </w:rPr>
            <w:drawing>
              <wp:inline distT="0" distB="0" distL="0" distR="0" wp14:anchorId="50DA6EB6" wp14:editId="50DA6EB7">
                <wp:extent cx="2322000" cy="604800"/>
                <wp:effectExtent l="0" t="0" r="254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nhem_Logo_liggend_kleu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2000" cy="604800"/>
                        </a:xfrm>
                        <a:prstGeom prst="rect">
                          <a:avLst/>
                        </a:prstGeom>
                      </pic:spPr>
                    </pic:pic>
                  </a:graphicData>
                </a:graphic>
              </wp:inline>
            </w:drawing>
          </w:r>
        </w:p>
      </w:tc>
    </w:tr>
  </w:tbl>
  <w:p w14:paraId="50DA6EB4" w14:textId="77777777" w:rsidR="001C0D9D" w:rsidRDefault="003B1181" w:rsidP="001C0D9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3076"/>
    <w:multiLevelType w:val="hybridMultilevel"/>
    <w:tmpl w:val="ACFA9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940F76"/>
    <w:multiLevelType w:val="hybridMultilevel"/>
    <w:tmpl w:val="A2AE7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6A7895"/>
    <w:multiLevelType w:val="hybridMultilevel"/>
    <w:tmpl w:val="DCD2E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80"/>
    <w:rsid w:val="00000C34"/>
    <w:rsid w:val="00045454"/>
    <w:rsid w:val="000C0234"/>
    <w:rsid w:val="001A4DC1"/>
    <w:rsid w:val="00351917"/>
    <w:rsid w:val="00393282"/>
    <w:rsid w:val="003B1181"/>
    <w:rsid w:val="003C6284"/>
    <w:rsid w:val="00426FC1"/>
    <w:rsid w:val="00636215"/>
    <w:rsid w:val="00636F6B"/>
    <w:rsid w:val="006653A9"/>
    <w:rsid w:val="006B7171"/>
    <w:rsid w:val="00723EEB"/>
    <w:rsid w:val="00752A08"/>
    <w:rsid w:val="007B7EE2"/>
    <w:rsid w:val="00932B07"/>
    <w:rsid w:val="00A6231B"/>
    <w:rsid w:val="00A842FD"/>
    <w:rsid w:val="00B2349B"/>
    <w:rsid w:val="00BB53D7"/>
    <w:rsid w:val="00CD1680"/>
    <w:rsid w:val="00D45D56"/>
    <w:rsid w:val="00E113B9"/>
    <w:rsid w:val="00EF2AFF"/>
    <w:rsid w:val="00FE2661"/>
    <w:rsid w:val="00FF01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DA6E82"/>
  <w15:docId w15:val="{F71188E3-9D76-4357-9BE0-72A20CE6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l-NL" w:eastAsia="en-US" w:bidi="ar-SA"/>
      </w:rPr>
    </w:rPrDefault>
    <w:pPrDefault>
      <w:pPr>
        <w:spacing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C0D9D"/>
    <w:rPr>
      <w:rFonts w:ascii="Arial" w:hAnsi="Arial" w:cs="Times New Roman"/>
      <w:sz w:val="20"/>
    </w:rPr>
  </w:style>
  <w:style w:type="paragraph" w:styleId="Kop1">
    <w:name w:val="heading 1"/>
    <w:basedOn w:val="Standaard"/>
    <w:next w:val="Standaard"/>
    <w:link w:val="Kop1Char"/>
    <w:uiPriority w:val="9"/>
    <w:qFormat/>
    <w:rsid w:val="003A22AD"/>
    <w:pPr>
      <w:keepNext/>
      <w:spacing w:before="240" w:after="60"/>
      <w:outlineLvl w:val="0"/>
    </w:pPr>
    <w:rPr>
      <w:rFonts w:eastAsiaTheme="majorEastAsia" w:cstheme="majorBidi"/>
      <w:b/>
      <w:bCs/>
      <w:kern w:val="32"/>
      <w:sz w:val="32"/>
      <w:szCs w:val="32"/>
    </w:rPr>
  </w:style>
  <w:style w:type="paragraph" w:styleId="Kop2">
    <w:name w:val="heading 2"/>
    <w:basedOn w:val="Standaard"/>
    <w:next w:val="Standaard"/>
    <w:link w:val="Kop2Char"/>
    <w:uiPriority w:val="9"/>
    <w:semiHidden/>
    <w:unhideWhenUsed/>
    <w:qFormat/>
    <w:rsid w:val="003A22AD"/>
    <w:pPr>
      <w:keepNext/>
      <w:spacing w:before="240" w:after="60"/>
      <w:outlineLvl w:val="1"/>
    </w:pPr>
    <w:rPr>
      <w:rFonts w:eastAsiaTheme="majorEastAsia" w:cstheme="majorBidi"/>
      <w:b/>
      <w:bCs/>
      <w:i/>
      <w:iCs/>
      <w:sz w:val="28"/>
      <w:szCs w:val="28"/>
    </w:rPr>
  </w:style>
  <w:style w:type="paragraph" w:styleId="Kop3">
    <w:name w:val="heading 3"/>
    <w:basedOn w:val="Standaard"/>
    <w:next w:val="Standaard"/>
    <w:link w:val="Kop3Char"/>
    <w:uiPriority w:val="9"/>
    <w:semiHidden/>
    <w:unhideWhenUsed/>
    <w:qFormat/>
    <w:rsid w:val="00437425"/>
    <w:pPr>
      <w:keepNext/>
      <w:spacing w:before="240" w:after="60"/>
      <w:outlineLvl w:val="2"/>
    </w:pPr>
    <w:rPr>
      <w:rFonts w:eastAsiaTheme="majorEastAsia"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22AD"/>
    <w:pPr>
      <w:spacing w:line="240" w:lineRule="auto"/>
    </w:pPr>
    <w:rPr>
      <w:rFonts w:ascii="Arial" w:hAnsi="Arial" w:cs="Times New Roman"/>
      <w:sz w:val="20"/>
    </w:rPr>
  </w:style>
  <w:style w:type="character" w:customStyle="1" w:styleId="Kop1Char">
    <w:name w:val="Kop 1 Char"/>
    <w:basedOn w:val="Standaardalinea-lettertype"/>
    <w:link w:val="Kop1"/>
    <w:uiPriority w:val="9"/>
    <w:rsid w:val="003A22AD"/>
    <w:rPr>
      <w:rFonts w:ascii="Arial" w:eastAsiaTheme="majorEastAsia" w:hAnsi="Arial" w:cstheme="majorBidi"/>
      <w:b/>
      <w:bCs/>
      <w:kern w:val="32"/>
      <w:sz w:val="32"/>
      <w:szCs w:val="32"/>
    </w:rPr>
  </w:style>
  <w:style w:type="character" w:customStyle="1" w:styleId="Kop2Char">
    <w:name w:val="Kop 2 Char"/>
    <w:basedOn w:val="Standaardalinea-lettertype"/>
    <w:link w:val="Kop2"/>
    <w:uiPriority w:val="9"/>
    <w:semiHidden/>
    <w:rsid w:val="003A22AD"/>
    <w:rPr>
      <w:rFonts w:ascii="Arial" w:eastAsiaTheme="majorEastAsia" w:hAnsi="Arial" w:cstheme="majorBidi"/>
      <w:b/>
      <w:bCs/>
      <w:i/>
      <w:iCs/>
      <w:sz w:val="28"/>
      <w:szCs w:val="28"/>
    </w:rPr>
  </w:style>
  <w:style w:type="paragraph" w:styleId="Ondertitel">
    <w:name w:val="Subtitle"/>
    <w:basedOn w:val="Standaard"/>
    <w:next w:val="Standaard"/>
    <w:link w:val="OndertitelChar"/>
    <w:uiPriority w:val="11"/>
    <w:qFormat/>
    <w:rsid w:val="003A22AD"/>
    <w:pPr>
      <w:spacing w:after="60"/>
      <w:outlineLvl w:val="1"/>
    </w:pPr>
    <w:rPr>
      <w:rFonts w:eastAsiaTheme="majorEastAsia" w:cstheme="majorBidi"/>
      <w:sz w:val="24"/>
      <w:szCs w:val="24"/>
    </w:rPr>
  </w:style>
  <w:style w:type="character" w:customStyle="1" w:styleId="OndertitelChar">
    <w:name w:val="Ondertitel Char"/>
    <w:basedOn w:val="Standaardalinea-lettertype"/>
    <w:link w:val="Ondertitel"/>
    <w:uiPriority w:val="11"/>
    <w:rsid w:val="003A22AD"/>
    <w:rPr>
      <w:rFonts w:ascii="Arial" w:eastAsiaTheme="majorEastAsia" w:hAnsi="Arial" w:cstheme="majorBidi"/>
      <w:sz w:val="24"/>
      <w:szCs w:val="24"/>
    </w:rPr>
  </w:style>
  <w:style w:type="paragraph" w:styleId="Titel">
    <w:name w:val="Title"/>
    <w:basedOn w:val="Standaard"/>
    <w:next w:val="Standaard"/>
    <w:link w:val="TitelChar"/>
    <w:uiPriority w:val="10"/>
    <w:qFormat/>
    <w:rsid w:val="00437425"/>
    <w:pPr>
      <w:spacing w:before="240" w:after="60"/>
      <w:outlineLvl w:val="0"/>
    </w:pPr>
    <w:rPr>
      <w:rFonts w:eastAsiaTheme="majorEastAsia" w:cstheme="majorBidi"/>
      <w:b/>
      <w:bCs/>
      <w:kern w:val="28"/>
      <w:sz w:val="32"/>
      <w:szCs w:val="32"/>
    </w:rPr>
  </w:style>
  <w:style w:type="character" w:customStyle="1" w:styleId="TitelChar">
    <w:name w:val="Titel Char"/>
    <w:basedOn w:val="Standaardalinea-lettertype"/>
    <w:link w:val="Titel"/>
    <w:uiPriority w:val="10"/>
    <w:rsid w:val="00437425"/>
    <w:rPr>
      <w:rFonts w:ascii="Arial" w:eastAsiaTheme="majorEastAsia" w:hAnsi="Arial" w:cstheme="majorBidi"/>
      <w:b/>
      <w:bCs/>
      <w:kern w:val="28"/>
      <w:sz w:val="32"/>
      <w:szCs w:val="32"/>
    </w:rPr>
  </w:style>
  <w:style w:type="character" w:customStyle="1" w:styleId="Kop3Char">
    <w:name w:val="Kop 3 Char"/>
    <w:basedOn w:val="Standaardalinea-lettertype"/>
    <w:link w:val="Kop3"/>
    <w:uiPriority w:val="9"/>
    <w:semiHidden/>
    <w:rsid w:val="00437425"/>
    <w:rPr>
      <w:rFonts w:ascii="Arial" w:eastAsiaTheme="majorEastAsia" w:hAnsi="Arial" w:cstheme="majorBidi"/>
      <w:b/>
      <w:bCs/>
      <w:sz w:val="26"/>
      <w:szCs w:val="26"/>
    </w:rPr>
  </w:style>
  <w:style w:type="paragraph" w:styleId="Koptekst">
    <w:name w:val="header"/>
    <w:basedOn w:val="Standaard"/>
    <w:link w:val="KoptekstChar"/>
    <w:uiPriority w:val="99"/>
    <w:unhideWhenUsed/>
    <w:rsid w:val="00A559F4"/>
    <w:pPr>
      <w:tabs>
        <w:tab w:val="center" w:pos="4536"/>
        <w:tab w:val="right" w:pos="9072"/>
      </w:tabs>
    </w:pPr>
  </w:style>
  <w:style w:type="character" w:customStyle="1" w:styleId="KoptekstChar">
    <w:name w:val="Koptekst Char"/>
    <w:basedOn w:val="Standaardalinea-lettertype"/>
    <w:link w:val="Koptekst"/>
    <w:uiPriority w:val="99"/>
    <w:rsid w:val="00A559F4"/>
    <w:rPr>
      <w:rFonts w:ascii="Arial" w:hAnsi="Arial" w:cs="Times New Roman"/>
      <w:sz w:val="20"/>
    </w:rPr>
  </w:style>
  <w:style w:type="paragraph" w:styleId="Voettekst">
    <w:name w:val="footer"/>
    <w:basedOn w:val="Standaard"/>
    <w:link w:val="VoettekstChar"/>
    <w:uiPriority w:val="99"/>
    <w:unhideWhenUsed/>
    <w:rsid w:val="00A559F4"/>
    <w:pPr>
      <w:tabs>
        <w:tab w:val="center" w:pos="4536"/>
        <w:tab w:val="right" w:pos="9072"/>
      </w:tabs>
    </w:pPr>
  </w:style>
  <w:style w:type="character" w:customStyle="1" w:styleId="VoettekstChar">
    <w:name w:val="Voettekst Char"/>
    <w:basedOn w:val="Standaardalinea-lettertype"/>
    <w:link w:val="Voettekst"/>
    <w:uiPriority w:val="99"/>
    <w:rsid w:val="00A559F4"/>
    <w:rPr>
      <w:rFonts w:ascii="Arial" w:hAnsi="Arial" w:cs="Times New Roman"/>
      <w:sz w:val="20"/>
    </w:rPr>
  </w:style>
  <w:style w:type="table" w:styleId="Tabelraster">
    <w:name w:val="Table Grid"/>
    <w:basedOn w:val="Standaardtabel"/>
    <w:uiPriority w:val="39"/>
    <w:rsid w:val="00A559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C0234"/>
    <w:pPr>
      <w:spacing w:line="240" w:lineRule="auto"/>
    </w:pPr>
    <w:rPr>
      <w:szCs w:val="20"/>
    </w:rPr>
  </w:style>
  <w:style w:type="character" w:customStyle="1" w:styleId="VoetnoottekstChar">
    <w:name w:val="Voetnoottekst Char"/>
    <w:basedOn w:val="Standaardalinea-lettertype"/>
    <w:link w:val="Voetnoottekst"/>
    <w:uiPriority w:val="99"/>
    <w:semiHidden/>
    <w:rsid w:val="000C0234"/>
    <w:rPr>
      <w:rFonts w:ascii="Arial" w:hAnsi="Arial" w:cs="Times New Roman"/>
      <w:sz w:val="20"/>
      <w:szCs w:val="20"/>
    </w:rPr>
  </w:style>
  <w:style w:type="character" w:styleId="Voetnootmarkering">
    <w:name w:val="footnote reference"/>
    <w:basedOn w:val="Standaardalinea-lettertype"/>
    <w:uiPriority w:val="99"/>
    <w:semiHidden/>
    <w:unhideWhenUsed/>
    <w:rsid w:val="000C0234"/>
    <w:rPr>
      <w:vertAlign w:val="superscript"/>
    </w:rPr>
  </w:style>
  <w:style w:type="character" w:styleId="Hyperlink">
    <w:name w:val="Hyperlink"/>
    <w:basedOn w:val="Standaardalinea-lettertype"/>
    <w:uiPriority w:val="99"/>
    <w:unhideWhenUsed/>
    <w:rsid w:val="000C0234"/>
    <w:rPr>
      <w:color w:val="0563C1" w:themeColor="hyperlink"/>
      <w:u w:val="single"/>
    </w:rPr>
  </w:style>
  <w:style w:type="paragraph" w:styleId="Lijstalinea">
    <w:name w:val="List Paragraph"/>
    <w:basedOn w:val="Standaard"/>
    <w:uiPriority w:val="34"/>
    <w:qFormat/>
    <w:rsid w:val="00351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5B89-BF5E-4A4F-AC43-CC03B7A1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ED84C74C.dotm</Template>
  <TotalTime>0</TotalTime>
  <Pages>4</Pages>
  <Words>1715</Words>
  <Characters>9435</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Gemeente Arnhem</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G.H.M. Haaren-van</dc:creator>
  <cp:lastModifiedBy>Michiel Noordanus</cp:lastModifiedBy>
  <cp:revision>2</cp:revision>
  <dcterms:created xsi:type="dcterms:W3CDTF">2019-12-15T20:25:00Z</dcterms:created>
  <dcterms:modified xsi:type="dcterms:W3CDTF">2019-12-15T20:25:00Z</dcterms:modified>
  <cp:category>memo</cp:category>
</cp:coreProperties>
</file>